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88" w:lineRule="auto"/>
        <w:ind w:firstLine="0"/>
        <w:jc w:val="center"/>
      </w:pPr>
      <w:r>
        <w:rPr>
          <w:rFonts w:ascii="Noto Sans CJK SC" w:hAnsi="Noto Sans CJK SC" w:eastAsia="Noto Sans CJK SC" w:cs="Noto Sans CJK SC"/>
          <w:b/>
          <w:sz w:val="44"/>
        </w:rPr>
        <w:t>仓储数字化终端技术规范书</w:t>
      </w:r>
    </w:p>
    <w:p>
      <w:pPr>
        <w:pStyle w:val="Heading1"/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1 范围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本文件规定仓储数字化终端的功能、数据、接口和试验要求。</w:t>
      </w:r>
    </w:p>
    <w:p>
      <w:pPr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2 规范性引用文件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下列文件中的内容通过规范性引用构成本文件必不可少的条款。</w:t>
      </w:r>
    </w:p>
    <w:p>
      <w:pPr>
        <w:pStyle w:val="SpecClause"/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3 术语和定义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仓储数字化终端：用于库内作业采集、任务展示和业务交互的现场设备。</w:t>
      </w:r>
    </w:p>
    <w:p>
      <w:pPr>
        <w:pStyle w:val="Heading1"/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4 技术要求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0"/>
        </w:rPr>
        <w:t>4.1 基本要求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28"/>
        </w:rPr>
        <w:t>4.1.1 环境条件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设备应适应仓库常温环境，并满足连续运行要求。</w:t>
      </w:r>
    </w:p>
    <w:p>
      <w:pPr>
        <w:pStyle w:val="SpecClause"/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28"/>
        </w:rPr>
        <w:t>4.1.2 功能要求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终端应支持任务接收、条码扫描、结果回传和异常提示。</w:t>
      </w:r>
    </w:p>
    <w:p>
      <w:pPr>
        <w:pStyle w:val="Heading2"/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0"/>
        </w:rPr>
        <w:t>4.2 数据要求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28"/>
        </w:rPr>
        <w:t>4.2.1 字段完整性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出入库记录至少应包含业务单号、物料编码、储位编码、数量、时间和操作人。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1. 每批物资完成收货后，应校验数量、批次和储位信息。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2. 对校验失败的数据，应记录异常原因并进入人工复核。</w:t>
      </w:r>
    </w:p>
    <w:p>
      <w:pPr>
        <w:spacing w:before="0" w:after="120" w:line="360" w:lineRule="auto"/>
        <w:ind w:firstLine="0"/>
        <w:jc w:val="center"/>
      </w:pPr>
      <w:r>
        <w:rPr>
          <w:rFonts w:ascii="Noto Serif CJK SC" w:hAnsi="Noto Serif CJK SC" w:eastAsia="Noto Serif CJK SC" w:cs="Noto Serif CJK SC"/>
          <w:b/>
          <w:i w:val="0"/>
          <w:sz w:val="24"/>
        </w:rPr>
        <w:t>表1 数据字段示例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59"/>
        <w:gridCol w:w="3059"/>
        <w:gridCol w:w="3059"/>
      </w:tblGrid>
      <w:tr>
        <w:tc>
          <w:tcPr>
            <w:tcW w:type="dxa" w:w="30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22"/>
              </w:rPr>
              <w:t>字段</w:t>
            </w:r>
          </w:p>
        </w:tc>
        <w:tc>
          <w:tcPr>
            <w:tcW w:type="dxa" w:w="30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22"/>
              </w:rPr>
              <w:t>类型</w:t>
            </w:r>
          </w:p>
        </w:tc>
        <w:tc>
          <w:tcPr>
            <w:tcW w:type="dxa" w:w="3059"/>
            <w:vAlign w:val="center"/>
          </w:tcPr>
          <w:p>
            <w:pPr>
              <w:jc w:val="center"/>
            </w:pPr>
            <w:r>
              <w:rPr>
                <w:rFonts w:ascii="Noto Sans CJK SC" w:hAnsi="Noto Sans CJK SC" w:eastAsia="Noto Sans CJK SC" w:cs="Noto Sans CJK SC"/>
                <w:b/>
                <w:sz w:val="22"/>
              </w:rPr>
              <w:t>是否必填</w:t>
            </w:r>
          </w:p>
        </w:tc>
      </w:tr>
      <w:tr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业务单号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文本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是</w:t>
            </w:r>
          </w:p>
        </w:tc>
      </w:tr>
      <w:tr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物料编码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文本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是</w:t>
            </w:r>
          </w:p>
        </w:tc>
      </w:tr>
      <w:tr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备注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文本</w:t>
            </w:r>
          </w:p>
        </w:tc>
        <w:tc>
          <w:tcPr>
            <w:tcW w:type="dxa" w:w="3059"/>
            <w:vAlign w:val="center"/>
          </w:tcPr>
          <w:p>
            <w:r>
              <w:rPr>
                <w:rFonts w:ascii="Noto Serif CJK SC" w:hAnsi="Noto Serif CJK SC" w:eastAsia="Noto Serif CJK SC" w:cs="Noto Serif CJK SC"/>
                <w:sz w:val="22"/>
              </w:rPr>
              <w:t>否</w:t>
            </w:r>
          </w:p>
        </w:tc>
      </w:tr>
    </w:tbl>
    <w:p>
      <w:pPr>
        <w:spacing w:before="16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2"/>
        </w:rPr>
        <w:t>5 试验与验收</w:t>
      </w:r>
    </w:p>
    <w:p>
      <w:pPr>
        <w:spacing w:before="80" w:after="80" w:line="288" w:lineRule="auto"/>
        <w:ind w:firstLine="0"/>
      </w:pPr>
      <w:r>
        <w:rPr>
          <w:rFonts w:ascii="Noto Sans CJK SC" w:hAnsi="Noto Sans CJK SC" w:eastAsia="Noto Sans CJK SC" w:cs="Noto Sans CJK SC"/>
          <w:b/>
          <w:sz w:val="30"/>
        </w:rPr>
        <w:t>5.1 功能试验</w:t>
      </w:r>
    </w:p>
    <w:p>
      <w:pPr>
        <w:spacing w:before="0" w:after="120" w:line="360" w:lineRule="auto"/>
        <w:ind w:firstLine="640"/>
      </w:pPr>
      <w:r>
        <w:rPr>
          <w:rFonts w:ascii="Noto Serif CJK SC" w:hAnsi="Noto Serif CJK SC" w:eastAsia="Noto Serif CJK SC" w:cs="Noto Serif CJK SC"/>
          <w:b w:val="0"/>
          <w:i w:val="0"/>
          <w:sz w:val="32"/>
        </w:rPr>
        <w:t>应逐项验证任务接收、扫描、回传和异常提示功能。</w:t>
      </w:r>
    </w:p>
    <w:sectPr w:rsidR="00FC693F" w:rsidRPr="0006063C" w:rsidSect="00034616">
      <w:pgSz w:w="12240" w:h="15840"/>
      <w:pgMar w:top="1587" w:right="1531" w:bottom="1474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pecClause">
    <w:name w:val="SpecClause"/>
    <w:rPr>
      <w:rFonts w:ascii="Noto Sans CJK SC" w:hAnsi="Noto Sans CJK SC"/>
      <w:b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