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88" w:lineRule="auto"/>
        <w:ind w:firstLine="0"/>
        <w:jc w:val="left"/>
      </w:pPr>
      <w:r>
        <w:rPr>
          <w:rFonts w:ascii="Noto Sans CJK SC" w:hAnsi="Noto Sans CJK SC" w:eastAsia="Noto Sans CJK SC" w:cs="Noto Sans CJK SC"/>
          <w:b/>
          <w:sz w:val="48"/>
        </w:rPr>
        <w:t>2026年度物资盘点实施方案</w:t>
      </w:r>
    </w:p>
    <w:p>
      <w:pPr>
        <w:spacing w:before="0" w:after="40" w:line="288" w:lineRule="auto"/>
        <w:ind w:firstLine="0"/>
      </w:pPr>
      <w:r>
        <w:rPr>
          <w:rFonts w:ascii="Noto Serif CJK SC" w:hAnsi="Noto Serif CJK SC" w:eastAsia="Noto Serif CJK SC" w:cs="Noto Serif CJK SC"/>
          <w:sz w:val="28"/>
        </w:rPr>
        <w:t>物资供应中心</w:t>
      </w:r>
    </w:p>
    <w:p>
      <w:pPr>
        <w:spacing w:before="0" w:after="200" w:line="288" w:lineRule="auto"/>
        <w:ind w:firstLine="0"/>
      </w:pPr>
      <w:r>
        <w:rPr>
          <w:rFonts w:ascii="Noto Serif CJK SC" w:hAnsi="Noto Serif CJK SC" w:eastAsia="Noto Serif CJK SC" w:cs="Noto Serif CJK SC"/>
          <w:sz w:val="28"/>
        </w:rPr>
        <w:t>2026年10月</w:t>
      </w:r>
    </w:p>
    <w:p>
      <w:pPr>
        <w:spacing w:before="16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32"/>
        </w:rPr>
        <w:t>一、总体要求</w:t>
      </w:r>
    </w:p>
    <w:p>
      <w:pPr>
        <w:spacing w:before="8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30"/>
        </w:rPr>
        <w:t>1. 盘点范围</w:t>
      </w:r>
    </w:p>
    <w:p>
      <w:pPr>
        <w:spacing w:before="0" w:after="120" w:line="360" w:lineRule="auto"/>
        <w:ind w:firstLine="640"/>
      </w:pPr>
      <w:r>
        <w:rPr>
          <w:rFonts w:ascii="Noto Serif CJK SC" w:hAnsi="Noto Serif CJK SC" w:eastAsia="Noto Serif CJK SC" w:cs="Noto Serif CJK SC"/>
          <w:b w:val="0"/>
          <w:i w:val="0"/>
          <w:sz w:val="32"/>
        </w:rPr>
        <w:t>本次盘点覆盖中心库、周转库及已纳入账面管理的现场暂存物资。</w:t>
      </w:r>
    </w:p>
    <w:p>
      <w:pPr>
        <w:spacing w:before="8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30"/>
        </w:rPr>
        <w:t>2. 盘点原则</w:t>
      </w:r>
    </w:p>
    <w:p>
      <w:pPr>
        <w:spacing w:before="0" w:after="120" w:line="360" w:lineRule="auto"/>
        <w:ind w:firstLine="640"/>
      </w:pPr>
      <w:r>
        <w:rPr>
          <w:rFonts w:ascii="Noto Serif CJK SC" w:hAnsi="Noto Serif CJK SC" w:eastAsia="Noto Serif CJK SC" w:cs="Noto Serif CJK SC"/>
          <w:b w:val="0"/>
          <w:i w:val="0"/>
          <w:sz w:val="32"/>
        </w:rPr>
        <w:t>坚持账、卡、物逐项核对，对差异形成证据链并完成复核。</w:t>
      </w:r>
    </w:p>
    <w:p>
      <w:pPr>
        <w:spacing w:before="0" w:after="120" w:line="360" w:lineRule="auto"/>
        <w:ind w:firstLine="640"/>
      </w:pPr>
      <w:r>
        <w:rPr>
          <w:rFonts w:ascii="Noto Serif CJK SC" w:hAnsi="Noto Serif CJK SC" w:eastAsia="Noto Serif CJK SC" w:cs="Noto Serif CJK SC"/>
          <w:b w:val="0"/>
          <w:i w:val="0"/>
          <w:sz w:val="32"/>
        </w:rPr>
        <w:t>1. 盘点人员应按任务清单逐库位核验，不得仅依据系统数量直接确认。</w:t>
      </w:r>
    </w:p>
    <w:p>
      <w:pPr>
        <w:spacing w:before="0" w:after="120" w:line="360" w:lineRule="auto"/>
        <w:ind w:firstLine="640"/>
      </w:pPr>
      <w:r>
        <w:rPr>
          <w:rFonts w:ascii="Noto Serif CJK SC" w:hAnsi="Noto Serif CJK SC" w:eastAsia="Noto Serif CJK SC" w:cs="Noto Serif CJK SC"/>
          <w:b w:val="0"/>
          <w:i w:val="0"/>
          <w:sz w:val="32"/>
        </w:rPr>
        <w:t>2. 发现差异后应保留照片、扫描记录和复核结论。</w:t>
      </w:r>
    </w:p>
    <w:p>
      <w:pPr>
        <w:spacing w:before="16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32"/>
        </w:rPr>
        <w:t>二、组织实施</w:t>
      </w:r>
    </w:p>
    <w:p>
      <w:pPr>
        <w:spacing w:before="8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30"/>
        </w:rPr>
        <w:t>1. 任务下发</w:t>
      </w:r>
    </w:p>
    <w:p>
      <w:pPr>
        <w:spacing w:before="8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28"/>
        </w:rPr>
        <w:t>（1）中心库</w:t>
      </w:r>
    </w:p>
    <w:p>
      <w:pPr>
        <w:spacing w:before="0" w:after="120" w:line="360" w:lineRule="auto"/>
        <w:ind w:firstLine="640"/>
      </w:pPr>
      <w:r>
        <w:rPr>
          <w:rFonts w:ascii="Noto Serif CJK SC" w:hAnsi="Noto Serif CJK SC" w:eastAsia="Noto Serif CJK SC" w:cs="Noto Serif CJK SC"/>
          <w:b w:val="0"/>
          <w:i w:val="0"/>
          <w:sz w:val="32"/>
        </w:rPr>
        <w:t>由仓储班组按库区拆分任务，并在完成后提交差异清单。</w:t>
      </w:r>
    </w:p>
    <w:p>
      <w:pPr>
        <w:spacing w:before="8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28"/>
        </w:rPr>
        <w:t>（2）周转库</w:t>
      </w:r>
    </w:p>
    <w:p>
      <w:pPr>
        <w:spacing w:before="0" w:after="120" w:line="360" w:lineRule="auto"/>
        <w:ind w:firstLine="640"/>
      </w:pPr>
      <w:r>
        <w:rPr>
          <w:rFonts w:ascii="Noto Serif CJK SC" w:hAnsi="Noto Serif CJK SC" w:eastAsia="Noto Serif CJK SC" w:cs="Noto Serif CJK SC"/>
          <w:b w:val="0"/>
          <w:i w:val="0"/>
          <w:sz w:val="32"/>
        </w:rPr>
        <w:t>对高频出入库物资采用动态盘点方式，减少业务中断。</w:t>
      </w:r>
    </w:p>
    <w:p>
      <w:pPr>
        <w:spacing w:before="0" w:after="120" w:line="360" w:lineRule="auto"/>
        <w:ind w:firstLine="0"/>
      </w:pPr>
      <w:r>
        <w:rPr>
          <w:rFonts w:ascii="Noto Serif CJK SC" w:hAnsi="Noto Serif CJK SC" w:eastAsia="Noto Serif CJK SC" w:cs="Noto Serif CJK SC"/>
          <w:b/>
          <w:i w:val="0"/>
          <w:sz w:val="36"/>
        </w:rPr>
        <w:t>阶段性工作安排</w:t>
      </w:r>
    </w:p>
    <w:p>
      <w:pPr>
        <w:spacing w:before="0" w:after="120" w:line="360" w:lineRule="auto"/>
        <w:ind w:firstLine="640"/>
      </w:pPr>
      <w:r>
        <w:rPr>
          <w:rFonts w:ascii="Noto Serif CJK SC" w:hAnsi="Noto Serif CJK SC" w:eastAsia="Noto Serif CJK SC" w:cs="Noto Serif CJK SC"/>
          <w:b w:val="0"/>
          <w:i w:val="0"/>
          <w:sz w:val="32"/>
        </w:rPr>
        <w:t>本段只是正文中的强调短语，不应被识别为新的文档标题。</w:t>
      </w:r>
    </w:p>
    <w:sectPr w:rsidR="00FC693F" w:rsidRPr="0006063C" w:rsidSect="00034616">
      <w:pgSz w:w="12240" w:h="15840"/>
      <w:pgMar w:top="1587" w:right="1531" w:bottom="147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