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88" w:lineRule="auto"/>
        <w:ind w:firstLine="0"/>
        <w:jc w:val="center"/>
      </w:pPr>
      <w:r>
        <w:rPr>
          <w:rFonts w:ascii="Noto Sans CJK SC" w:hAnsi="Noto Sans CJK SC" w:eastAsia="Noto Sans CJK SC" w:cs="Noto Sans CJK SC"/>
          <w:b/>
          <w:sz w:val="44"/>
        </w:rPr>
        <w:t>仓储异常处置闭环说明</w:t>
      </w:r>
    </w:p>
    <w:p>
      <w:pPr>
        <w:pStyle w:val="Heading1"/>
        <w:spacing w:before="160" w:after="80" w:line="288" w:lineRule="auto"/>
        <w:ind w:firstLine="0"/>
      </w:pPr>
      <w:r>
        <w:rPr>
          <w:rFonts w:ascii="Noto Sans CJK SC" w:hAnsi="Noto Sans CJK SC" w:eastAsia="Noto Sans CJK SC" w:cs="Noto Sans CJK SC"/>
          <w:b/>
          <w:sz w:val="32"/>
        </w:rPr>
        <w:t>一、异常识别</w:t>
      </w:r>
    </w:p>
    <w:p>
      <w:pPr>
        <w:spacing w:before="0" w:after="120" w:line="360" w:lineRule="auto"/>
        <w:ind w:firstLine="640"/>
      </w:pPr>
      <w:r>
        <w:rPr>
          <w:rFonts w:ascii="Noto Serif CJK SC" w:hAnsi="Noto Serif CJK SC" w:eastAsia="Noto Serif CJK SC" w:cs="Noto Serif CJK SC"/>
          <w:sz w:val="32"/>
        </w:rPr>
        <w:t>系统根据规则识别异常，</w:t>
      </w:r>
      <w:r>
        <w:rPr>
          <w:rFonts w:ascii="Noto Serif CJK SC" w:hAnsi="Noto Serif CJK SC" w:eastAsia="Noto Serif CJK SC" w:cs="Noto Serif CJK SC"/>
          <w:b/>
          <w:sz w:val="32"/>
        </w:rPr>
        <w:t>关键字段</w:t>
      </w:r>
      <w:r>
        <w:rPr>
          <w:rFonts w:ascii="Noto Serif CJK SC" w:hAnsi="Noto Serif CJK SC" w:eastAsia="Noto Serif CJK SC" w:cs="Noto Serif CJK SC"/>
          <w:sz w:val="32"/>
        </w:rPr>
        <w:t>应保留原有局部强调，</w:t>
      </w:r>
      <w:r>
        <w:rPr>
          <w:rFonts w:ascii="Noto Serif CJK SC" w:hAnsi="Noto Serif CJK SC" w:eastAsia="Noto Serif CJK SC" w:cs="Noto Serif CJK SC"/>
          <w:i/>
          <w:sz w:val="32"/>
        </w:rPr>
        <w:t>复核意见</w:t>
      </w:r>
      <w:r>
        <w:rPr>
          <w:rFonts w:ascii="Noto Serif CJK SC" w:hAnsi="Noto Serif CJK SC" w:eastAsia="Noto Serif CJK SC" w:cs="Noto Serif CJK SC"/>
          <w:sz w:val="32"/>
        </w:rPr>
        <w:t>也不应因正文统一样式而丢失。</w:t>
      </w:r>
      <w:r>
        <w:rPr>
          <w:rFonts w:ascii="Noto Serif CJK SC" w:hAnsi="Noto Serif CJK SC" w:eastAsia="Noto Serif CJK SC" w:cs="Noto Serif CJK SC"/>
          <w:sz w:val="24"/>
          <w:vertAlign w:val="superscript"/>
        </w:rPr>
        <w:t>2</w:t>
      </w:r>
      <w:r>
        <w:rPr>
          <w:rFonts w:ascii="Noto Serif CJK SC" w:hAnsi="Noto Serif CJK SC" w:eastAsia="Noto Serif CJK SC" w:cs="Noto Serif CJK SC"/>
          <w:sz w:val="32"/>
        </w:rPr>
        <w:t xml:space="preserve"> 与 CO</w:t>
      </w:r>
      <w:r>
        <w:rPr>
          <w:rFonts w:ascii="Noto Serif CJK SC" w:hAnsi="Noto Serif CJK SC" w:eastAsia="Noto Serif CJK SC" w:cs="Noto Serif CJK SC"/>
          <w:sz w:val="24"/>
          <w:vertAlign w:val="subscript"/>
        </w:rPr>
        <w:t>2</w:t>
      </w:r>
      <w:r>
        <w:rPr>
          <w:rFonts w:ascii="Noto Serif CJK SC" w:hAnsi="Noto Serif CJK SC" w:eastAsia="Noto Serif CJK SC" w:cs="Noto Serif CJK SC"/>
          <w:sz w:val="32"/>
        </w:rPr>
        <w:t xml:space="preserve"> 用于验证上下标保护。</w:t>
      </w:r>
    </w:p>
    <w:p>
      <w:pPr>
        <w:spacing w:before="0" w:after="120" w:line="360" w:lineRule="auto"/>
        <w:ind w:firstLine="640"/>
      </w:pPr>
      <w:r>
        <w:rPr>
          <w:rFonts w:ascii="Noto Serif CJK SC" w:hAnsi="Noto Serif CJK SC" w:eastAsia="Noto Serif CJK SC" w:cs="Noto Serif CJK SC"/>
          <w:sz w:val="32"/>
        </w:rPr>
        <w:t>异常说明可引用业务规则页面：</w:t>
      </w:r>
      <w:hyperlink r:id="rId11">
        <w:r>
          <w:rPr>
            <w:color w:val="0563C1"/>
            <w:u w:val="single"/>
            <w:rFonts w:ascii="Noto Serif CJK SC" w:hAnsi="Noto Serif CJK SC" w:eastAsia="Noto Serif CJK SC" w:cs="Noto Serif CJK SC"/>
            <w:sz w:val="32"/>
          </w:rPr>
          <w:t>规则说明</w:t>
        </w:r>
      </w:hyperlink>
    </w:p>
    <w:p>
      <w:pPr>
        <w:spacing w:before="160" w:after="80" w:line="288" w:lineRule="auto"/>
        <w:ind w:firstLine="0"/>
      </w:pPr>
      <w:r>
        <w:rPr>
          <w:rFonts w:ascii="Noto Sans CJK SC" w:hAnsi="Noto Sans CJK SC" w:eastAsia="Noto Sans CJK SC" w:cs="Noto Sans CJK SC"/>
          <w:b/>
          <w:sz w:val="32"/>
        </w:rPr>
        <w:t>二、处置流程</w:t>
      </w:r>
    </w:p>
    <w:p>
      <w:pPr>
        <w:pStyle w:val="ListNumber"/>
      </w:pPr>
      <w:r>
        <w:rPr>
          <w:rFonts w:ascii="Noto Serif CJK SC" w:hAnsi="Noto Serif CJK SC" w:eastAsia="Noto Serif CJK SC" w:cs="Noto Serif CJK SC"/>
          <w:sz w:val="32"/>
        </w:rPr>
        <w:t>核验系统记录与实物状态</w:t>
      </w:r>
    </w:p>
    <w:p>
      <w:pPr>
        <w:pStyle w:val="ListNumber"/>
      </w:pPr>
      <w:r>
        <w:rPr>
          <w:rFonts w:ascii="Noto Serif CJK SC" w:hAnsi="Noto Serif CJK SC" w:eastAsia="Noto Serif CJK SC" w:cs="Noto Serif CJK SC"/>
          <w:sz w:val="32"/>
        </w:rPr>
        <w:t>补充差异证据和责任信息</w:t>
      </w:r>
    </w:p>
    <w:p>
      <w:pPr>
        <w:pStyle w:val="ListNumber"/>
      </w:pPr>
      <w:r>
        <w:rPr>
          <w:rFonts w:ascii="Noto Serif CJK SC" w:hAnsi="Noto Serif CJK SC" w:eastAsia="Noto Serif CJK SC" w:cs="Noto Serif CJK SC"/>
          <w:sz w:val="32"/>
        </w:rPr>
        <w:t>复核后关闭异常任务</w:t>
      </w:r>
    </w:p>
    <w:p>
      <w:pPr>
        <w:spacing w:before="0" w:after="120" w:line="360" w:lineRule="auto"/>
        <w:ind w:firstLine="0"/>
        <w:jc w:val="center"/>
      </w:pPr>
      <w:r>
        <w:rPr>
          <w:rFonts w:ascii="Noto Serif CJK SC" w:hAnsi="Noto Serif CJK SC" w:eastAsia="Noto Serif CJK SC" w:cs="Noto Serif CJK SC"/>
          <w:b/>
          <w:i w:val="0"/>
          <w:sz w:val="24"/>
        </w:rPr>
        <w:t>表1 异常处置记录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59"/>
        <w:gridCol w:w="3059"/>
        <w:gridCol w:w="3059"/>
      </w:tblGrid>
      <w:tr>
        <w:tc>
          <w:tcPr>
            <w:tcW w:type="dxa" w:w="30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22"/>
              </w:rPr>
              <w:t>异常类型</w:t>
            </w:r>
          </w:p>
        </w:tc>
        <w:tc>
          <w:tcPr>
            <w:tcW w:type="dxa" w:w="30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22"/>
              </w:rPr>
              <w:t>证据</w:t>
            </w:r>
          </w:p>
        </w:tc>
        <w:tc>
          <w:tcPr>
            <w:tcW w:type="dxa" w:w="30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22"/>
              </w:rPr>
              <w:t>处置</w:t>
            </w:r>
          </w:p>
        </w:tc>
      </w:tr>
      <w:tr>
        <w:tc>
          <w:tcPr>
            <w:tcW w:type="dxa" w:w="3059"/>
            <w:vAlign w:val="center"/>
          </w:tcPr>
          <w:p>
            <w:r>
              <w:rPr>
                <w:rFonts w:ascii="Noto Serif CJK SC" w:hAnsi="Noto Serif CJK SC" w:eastAsia="Noto Serif CJK SC" w:cs="Noto Serif CJK SC"/>
                <w:sz w:val="22"/>
              </w:rPr>
              <w:t>数量差异</w:t>
            </w:r>
          </w:p>
        </w:tc>
        <w:tc>
          <w:tcPr>
            <w:tcW w:type="dxa" w:w="3059"/>
            <w:vAlign w:val="center"/>
          </w:tcPr>
          <w:p>
            <w:r>
              <w:rPr>
                <w:rFonts w:ascii="Noto Serif CJK SC" w:hAnsi="Noto Serif CJK SC" w:eastAsia="Noto Serif CJK SC" w:cs="Noto Serif CJK SC"/>
                <w:sz w:val="22"/>
              </w:rPr>
              <w:t>系统记录、现场照片</w:t>
            </w:r>
          </w:p>
        </w:tc>
        <w:tc>
          <w:tcPr>
            <w:tcW w:type="dxa" w:w="3059"/>
            <w:vAlign w:val="center"/>
          </w:tcPr>
          <w:p>
            <w:r>
              <w:rPr>
                <w:rFonts w:ascii="Noto Serif CJK SC" w:hAnsi="Noto Serif CJK SC" w:eastAsia="Noto Serif CJK SC" w:cs="Noto Serif CJK SC"/>
                <w:sz w:val="22"/>
              </w:rPr>
              <w:t>复核并修正</w:t>
            </w:r>
          </w:p>
        </w:tc>
      </w:tr>
      <w:tr>
        <w:tc>
          <w:tcPr>
            <w:tcW w:type="dxa" w:w="3059"/>
            <w:vAlign w:val="center"/>
          </w:tcPr>
          <w:p>
            <w:r>
              <w:rPr>
                <w:rFonts w:ascii="Noto Serif CJK SC" w:hAnsi="Noto Serif CJK SC" w:eastAsia="Noto Serif CJK SC" w:cs="Noto Serif CJK SC"/>
                <w:sz w:val="22"/>
              </w:rPr>
              <w:t>储位差异</w:t>
            </w:r>
          </w:p>
        </w:tc>
        <w:tc>
          <w:tcPr>
            <w:tcW w:type="dxa" w:w="3059"/>
            <w:vAlign w:val="center"/>
          </w:tcPr>
          <w:p>
            <w:r>
              <w:rPr>
                <w:rFonts w:ascii="Noto Serif CJK SC" w:hAnsi="Noto Serif CJK SC" w:eastAsia="Noto Serif CJK SC" w:cs="Noto Serif CJK SC"/>
                <w:sz w:val="22"/>
              </w:rPr>
              <w:t>储位扫描记录</w:t>
            </w:r>
          </w:p>
        </w:tc>
        <w:tc>
          <w:tcPr>
            <w:tcW w:type="dxa" w:w="3059"/>
            <w:vAlign w:val="center"/>
          </w:tcPr>
          <w:p>
            <w:r>
              <w:rPr>
                <w:rFonts w:ascii="Noto Serif CJK SC" w:hAnsi="Noto Serif CJK SC" w:eastAsia="Noto Serif CJK SC" w:cs="Noto Serif CJK SC"/>
                <w:sz w:val="22"/>
              </w:rPr>
              <w:t>调整储位信息</w:t>
            </w:r>
          </w:p>
        </w:tc>
      </w:tr>
      <w:tr>
        <w:tc>
          <w:tcPr>
            <w:tcW w:type="dxa" w:w="3059"/>
            <w:vAlign w:val="center"/>
          </w:tcPr>
          <w:p>
            <w:r>
              <w:rPr>
                <w:rFonts w:ascii="Noto Serif CJK SC" w:hAnsi="Noto Serif CJK SC" w:eastAsia="Noto Serif CJK SC" w:cs="Noto Serif CJK SC"/>
                <w:sz w:val="22"/>
              </w:rPr>
              <w:t>状态差异</w:t>
            </w:r>
          </w:p>
        </w:tc>
        <w:tc>
          <w:tcPr>
            <w:tcW w:type="dxa" w:w="3059"/>
            <w:vAlign w:val="center"/>
          </w:tcPr>
          <w:p>
            <w:r>
              <w:rPr>
                <w:rFonts w:ascii="Noto Serif CJK SC" w:hAnsi="Noto Serif CJK SC" w:eastAsia="Noto Serif CJK SC" w:cs="Noto Serif CJK SC"/>
                <w:sz w:val="22"/>
              </w:rPr>
              <w:t>退料或报废审批记录</w:t>
            </w:r>
          </w:p>
        </w:tc>
        <w:tc>
          <w:tcPr>
            <w:tcW w:type="dxa" w:w="3059"/>
            <w:vAlign w:val="center"/>
          </w:tcPr>
          <w:p>
            <w:r>
              <w:rPr>
                <w:rFonts w:ascii="Noto Serif CJK SC" w:hAnsi="Noto Serif CJK SC" w:eastAsia="Noto Serif CJK SC" w:cs="Noto Serif CJK SC"/>
                <w:sz w:val="22"/>
              </w:rPr>
              <w:t>按流程处置</w:t>
            </w:r>
          </w:p>
        </w:tc>
      </w:tr>
      <w:tr>
        <w:tc>
          <w:tcPr>
            <w:tcW w:type="dxa" w:w="6118"/>
            <w:gridSpan w:val="2"/>
          </w:tcPr>
          <w:p>
            <w:r>
              <w:rPr>
                <w:rFonts w:ascii="Noto Serif CJK SC" w:hAnsi="Noto Serif CJK SC" w:eastAsia="Noto Serif CJK SC" w:cs="Noto Serif CJK SC"/>
                <w:sz w:val="22"/>
              </w:rPr>
              <w:t>合并单元格示例</w:t>
            </w:r>
          </w:p>
        </w:tc>
        <w:tc>
          <w:tcPr>
            <w:tcW w:type="dxa" w:w="3059"/>
          </w:tcPr>
          <w:p>
            <w:r>
              <w:rPr>
                <w:rFonts w:ascii="Noto Serif CJK SC" w:hAnsi="Noto Serif CJK SC" w:eastAsia="Noto Serif CJK SC" w:cs="Noto Serif CJK SC"/>
                <w:sz w:val="22"/>
              </w:rPr>
              <w:t>结构应保留</w:t>
            </w:r>
          </w:p>
        </w:tc>
      </w:tr>
    </w:tbl>
    <w:p>
      <w:r>
        <w:br w:type="page"/>
      </w:r>
    </w:p>
    <w:p>
      <w:pPr>
        <w:spacing w:before="160" w:after="80" w:line="288" w:lineRule="auto"/>
        <w:ind w:firstLine="0"/>
      </w:pPr>
      <w:r>
        <w:rPr>
          <w:rFonts w:ascii="Noto Sans CJK SC" w:hAnsi="Noto Sans CJK SC" w:eastAsia="Noto Sans CJK SC" w:cs="Noto Sans CJK SC"/>
          <w:b/>
          <w:sz w:val="32"/>
        </w:rPr>
        <w:t>三、复核要求</w:t>
      </w:r>
    </w:p>
    <w:p>
      <w:pPr>
        <w:spacing w:before="0" w:after="120" w:line="360" w:lineRule="auto"/>
        <w:ind w:firstLine="640"/>
      </w:pPr>
      <w:r>
        <w:rPr>
          <w:rFonts w:ascii="Noto Serif CJK SC" w:hAnsi="Noto Serif CJK SC" w:eastAsia="Noto Serif CJK SC" w:cs="Noto Serif CJK SC"/>
          <w:b w:val="0"/>
          <w:i w:val="0"/>
          <w:sz w:val="32"/>
        </w:rPr>
        <w:t>转换后应保持页眉、页脚、分页、超链接、列表、上下标和表格合并关系不变，仅规范允许修改的基础视觉格式。</w:t>
      </w:r>
    </w:p>
    <w:p>
      <w:pPr>
        <w:spacing w:before="160" w:after="80" w:line="288" w:lineRule="auto"/>
        <w:ind w:firstLine="0"/>
      </w:pPr>
      <w:r>
        <w:rPr>
          <w:rFonts w:ascii="Noto Sans CJK SC" w:hAnsi="Noto Sans CJK SC" w:eastAsia="Noto Sans CJK SC" w:cs="Noto Sans CJK SC"/>
          <w:b/>
          <w:sz w:val="32"/>
        </w:rPr>
        <w:t>参考文献</w:t>
      </w:r>
    </w:p>
    <w:p>
      <w:pPr>
        <w:spacing w:before="0" w:after="120" w:line="360" w:lineRule="auto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sz w:val="26"/>
        </w:rPr>
        <w:t>[1] 仓储异常处置管理办法。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587" w:right="1531" w:bottom="1474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SC" w:hAnsi="Noto Serif CJK SC" w:eastAsia="Noto Serif CJK SC" w:cs="Noto Serif CJK SC"/>
        <w:sz w:val="18"/>
      </w:rPr>
      <w:t>仅用于 DOCX Direct 验收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erif CJK SC" w:hAnsi="Noto Serif CJK SC" w:eastAsia="Noto Serif CJK SC" w:cs="Noto Serif CJK SC"/>
        <w:sz w:val="18"/>
      </w:rPr>
      <w:t>某公司内部工作材料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example.com/ru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