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B6C2" w14:textId="0207FAA4" w:rsidR="003531F3" w:rsidRDefault="00E614E4">
      <w:r w:rsidRPr="00E614E4">
        <w:t>Evolution and phylogeographic dissemination of endemic porcine picornaviruses in Vietnam</w:t>
      </w:r>
    </w:p>
    <w:p w14:paraId="33E25A8B" w14:textId="397BA1B2" w:rsidR="00E614E4" w:rsidRDefault="00E614E4" w:rsidP="00E614E4">
      <w:pPr>
        <w:pStyle w:val="ListParagraph"/>
        <w:numPr>
          <w:ilvl w:val="0"/>
          <w:numId w:val="1"/>
        </w:numPr>
      </w:pPr>
      <w:r>
        <w:t>Lu 2016</w:t>
      </w:r>
    </w:p>
    <w:p w14:paraId="5C348A35" w14:textId="326F70E9" w:rsidR="00E614E4" w:rsidRDefault="00E614E4" w:rsidP="00E614E4">
      <w:pPr>
        <w:pStyle w:val="ListParagraph"/>
        <w:numPr>
          <w:ilvl w:val="0"/>
          <w:numId w:val="1"/>
        </w:numPr>
      </w:pPr>
      <w:r>
        <w:t>Porcine picornaviruses</w:t>
      </w:r>
    </w:p>
    <w:p w14:paraId="7E0ED543" w14:textId="62CC84C4" w:rsidR="00E614E4" w:rsidRDefault="00E614E4" w:rsidP="00E614E4">
      <w:pPr>
        <w:pStyle w:val="ListParagraph"/>
        <w:numPr>
          <w:ilvl w:val="0"/>
          <w:numId w:val="1"/>
        </w:numPr>
      </w:pPr>
      <w:r w:rsidRPr="00E614E4">
        <w:t>uncorrelated lognormal relaxed molecular clocks and a constant-population coalescent process prior </w:t>
      </w:r>
    </w:p>
    <w:p w14:paraId="2391FE76" w14:textId="3D828113" w:rsidR="00E614E4" w:rsidRDefault="00E614E4" w:rsidP="00E614E4">
      <w:pPr>
        <w:pStyle w:val="ListParagraph"/>
        <w:numPr>
          <w:ilvl w:val="0"/>
          <w:numId w:val="1"/>
        </w:numPr>
      </w:pPr>
      <w:r w:rsidRPr="00E614E4">
        <w:t>strong priors of substitution rate were chosen according to published evolution rates of the VP1 gene from related genera in the picornavirus family, including 17 seventeen enteroviruses (species/types) and 10 ten non-enteroviruses (species/types)</w:t>
      </w:r>
    </w:p>
    <w:p w14:paraId="2E445201" w14:textId="6AF76B58" w:rsidR="00E614E4" w:rsidRDefault="00E614E4" w:rsidP="00E614E4">
      <w:pPr>
        <w:pStyle w:val="ListParagraph"/>
        <w:numPr>
          <w:ilvl w:val="0"/>
          <w:numId w:val="1"/>
        </w:numPr>
      </w:pPr>
      <w:r w:rsidRPr="00E614E4">
        <w:t>MCMC chains were run for 100 million steps, sampled every 10,000 states with 10% burn-in.</w:t>
      </w:r>
    </w:p>
    <w:p w14:paraId="3866C5A5" w14:textId="6AF38B06" w:rsidR="00272390" w:rsidRPr="00272390" w:rsidRDefault="00272390" w:rsidP="00272390">
      <w:r>
        <w:t>Varying genera specific substitution rates/</w:t>
      </w:r>
      <w:r w:rsidRPr="00272390">
        <w:rPr>
          <w:rFonts w:ascii="Cambria" w:eastAsia="Times New Roman" w:hAnsi="Cambria" w:cs="Times New Roman"/>
          <w:color w:val="000000"/>
          <w:spacing w:val="-2"/>
          <w:kern w:val="36"/>
          <w:sz w:val="36"/>
          <w:szCs w:val="36"/>
          <w14:ligatures w14:val="none"/>
        </w:rPr>
        <w:t xml:space="preserve"> </w:t>
      </w:r>
      <w:r w:rsidRPr="00272390">
        <w:t>Genus-Specific Substitution Rate Variability among Picornaviruses</w:t>
      </w:r>
    </w:p>
    <w:p w14:paraId="73E1561C" w14:textId="6FD2F5D6" w:rsidR="00E614E4" w:rsidRDefault="00272390" w:rsidP="00272390">
      <w:pPr>
        <w:pStyle w:val="ListParagraph"/>
        <w:numPr>
          <w:ilvl w:val="0"/>
          <w:numId w:val="2"/>
        </w:numPr>
      </w:pPr>
      <w:r>
        <w:t>Hicks 2011</w:t>
      </w:r>
    </w:p>
    <w:p w14:paraId="2C69E26B" w14:textId="729B5BAC" w:rsidR="00272390" w:rsidRDefault="00272390" w:rsidP="00272390">
      <w:pPr>
        <w:pStyle w:val="ListParagraph"/>
        <w:numPr>
          <w:ilvl w:val="0"/>
          <w:numId w:val="2"/>
        </w:numPr>
      </w:pPr>
      <w:r>
        <w:t>Tab</w:t>
      </w:r>
      <w:r w:rsidR="00AB494D">
        <w:t>l</w:t>
      </w:r>
      <w:r>
        <w:t xml:space="preserve">e is in </w:t>
      </w:r>
      <w:proofErr w:type="gramStart"/>
      <w:r>
        <w:t>paper</w:t>
      </w:r>
      <w:proofErr w:type="gramEnd"/>
    </w:p>
    <w:p w14:paraId="41BB2E97" w14:textId="72DEAD2E" w:rsidR="00F40C41" w:rsidRDefault="00F40C41" w:rsidP="00272390">
      <w:pPr>
        <w:pStyle w:val="ListParagraph"/>
        <w:numPr>
          <w:ilvl w:val="0"/>
          <w:numId w:val="2"/>
        </w:numPr>
      </w:pPr>
      <w:r w:rsidRPr="00F40C41">
        <w:t xml:space="preserve">The relaxed molecular clock was the best-fitting prior for CVB2, CVB4, EV71, PV1, and </w:t>
      </w:r>
      <w:proofErr w:type="spellStart"/>
      <w:r w:rsidRPr="00F40C41">
        <w:t>HPeV</w:t>
      </w:r>
      <w:proofErr w:type="spellEnd"/>
      <w:r w:rsidRPr="00F40C41">
        <w:t xml:space="preserve"> (</w:t>
      </w:r>
      <w:proofErr w:type="spellStart"/>
      <w:r w:rsidRPr="00F40C41">
        <w:t>logBF</w:t>
      </w:r>
      <w:proofErr w:type="spellEnd"/>
      <w:r w:rsidRPr="00F40C41">
        <w:t xml:space="preserve"> &gt; 10 [BF is Bayes factor]), but the strict molecular clock was preferred for EMCV, PTV, FMDV-A, and HAV (</w:t>
      </w:r>
      <w:proofErr w:type="spellStart"/>
      <w:r w:rsidRPr="00F40C41">
        <w:t>logBF</w:t>
      </w:r>
      <w:proofErr w:type="spellEnd"/>
      <w:r w:rsidRPr="00F40C41">
        <w:t xml:space="preserve"> &gt; 1.8; </w:t>
      </w:r>
      <w:hyperlink r:id="rId6" w:tgtFrame="table" w:history="1">
        <w:r w:rsidRPr="00F40C41">
          <w:rPr>
            <w:rStyle w:val="Hyperlink"/>
          </w:rPr>
          <w:t>Table 1</w:t>
        </w:r>
      </w:hyperlink>
      <w:r w:rsidRPr="00F40C41">
        <w:t xml:space="preserve">). The constant demographic model was preferred for FMDV-A, HAV, and </w:t>
      </w:r>
      <w:proofErr w:type="spellStart"/>
      <w:r w:rsidRPr="00F40C41">
        <w:t>HPeV</w:t>
      </w:r>
      <w:proofErr w:type="spellEnd"/>
      <w:r w:rsidRPr="00F40C41">
        <w:t xml:space="preserve"> (</w:t>
      </w:r>
      <w:proofErr w:type="spellStart"/>
      <w:r w:rsidRPr="00F40C41">
        <w:t>logBF</w:t>
      </w:r>
      <w:proofErr w:type="spellEnd"/>
      <w:r w:rsidRPr="00F40C41">
        <w:t xml:space="preserve"> &gt; 2), the exponential model was the best fitting for PV1 and EV71 (</w:t>
      </w:r>
      <w:proofErr w:type="spellStart"/>
      <w:r w:rsidRPr="00F40C41">
        <w:t>logBF</w:t>
      </w:r>
      <w:proofErr w:type="spellEnd"/>
      <w:r w:rsidRPr="00F40C41">
        <w:t xml:space="preserve"> &gt; 2)</w:t>
      </w:r>
    </w:p>
    <w:p w14:paraId="420F6B42" w14:textId="0E9561C1" w:rsidR="00F40C41" w:rsidRDefault="00F40C41" w:rsidP="00272390">
      <w:pPr>
        <w:pStyle w:val="ListParagraph"/>
        <w:numPr>
          <w:ilvl w:val="0"/>
          <w:numId w:val="2"/>
        </w:numPr>
      </w:pPr>
      <w:r w:rsidRPr="00F40C41">
        <w:t>These mean rates of enterovirus VP1 evolution range from 3.40 × 10</w:t>
      </w:r>
      <w:r w:rsidRPr="00F40C41">
        <w:rPr>
          <w:vertAlign w:val="superscript"/>
        </w:rPr>
        <w:t>−3</w:t>
      </w:r>
      <w:r w:rsidRPr="00F40C41">
        <w:t> to 1.19 × 10</w:t>
      </w:r>
      <w:r w:rsidRPr="00F40C41">
        <w:rPr>
          <w:vertAlign w:val="superscript"/>
        </w:rPr>
        <w:t>−2</w:t>
      </w:r>
      <w:r w:rsidRPr="00F40C41">
        <w:t xml:space="preserve"> nucleotide substitutions per site per year (ns/s/y), and mean VP1 rates for </w:t>
      </w:r>
      <w:proofErr w:type="spellStart"/>
      <w:r w:rsidRPr="00F40C41">
        <w:t>nonenteroviruses</w:t>
      </w:r>
      <w:proofErr w:type="spellEnd"/>
      <w:r w:rsidRPr="00F40C41">
        <w:t xml:space="preserve"> range from 9.76 × 10</w:t>
      </w:r>
      <w:r w:rsidRPr="00F40C41">
        <w:rPr>
          <w:vertAlign w:val="superscript"/>
        </w:rPr>
        <w:t>−4</w:t>
      </w:r>
      <w:r w:rsidRPr="00F40C41">
        <w:t> to 2.79 × 10</w:t>
      </w:r>
      <w:r w:rsidRPr="00F40C41">
        <w:rPr>
          <w:vertAlign w:val="superscript"/>
        </w:rPr>
        <w:t>−3</w:t>
      </w:r>
      <w:r w:rsidRPr="00F40C41">
        <w:t> ns/s/y. The average of the 18 enterovirus mean rates was 6.50 × 10</w:t>
      </w:r>
      <w:r w:rsidRPr="00F40C41">
        <w:rPr>
          <w:vertAlign w:val="superscript"/>
        </w:rPr>
        <w:t>−3</w:t>
      </w:r>
      <w:r w:rsidRPr="00F40C41">
        <w:t> ns/s/y (standard deviation [SD] = 2.61 × 10</w:t>
      </w:r>
      <w:r w:rsidRPr="00F40C41">
        <w:rPr>
          <w:vertAlign w:val="superscript"/>
        </w:rPr>
        <w:t>−3</w:t>
      </w:r>
      <w:r w:rsidRPr="00F40C41">
        <w:t xml:space="preserve">), while the average of the eight </w:t>
      </w:r>
      <w:proofErr w:type="spellStart"/>
      <w:r w:rsidRPr="00F40C41">
        <w:t>nonenterovirus</w:t>
      </w:r>
      <w:proofErr w:type="spellEnd"/>
      <w:r w:rsidRPr="00F40C41">
        <w:t xml:space="preserve"> mean rates was four times lower at 1.60 × 10</w:t>
      </w:r>
      <w:r w:rsidRPr="00F40C41">
        <w:rPr>
          <w:vertAlign w:val="superscript"/>
        </w:rPr>
        <w:t>−3</w:t>
      </w:r>
      <w:r w:rsidRPr="00F40C41">
        <w:t> ns/s/y </w:t>
      </w:r>
    </w:p>
    <w:p w14:paraId="3447AE01" w14:textId="77777777" w:rsidR="00AB494D" w:rsidRDefault="00AB494D" w:rsidP="00AB494D">
      <w:r w:rsidRPr="00AB494D">
        <w:t xml:space="preserve">Detection and genetic characterization of canine </w:t>
      </w:r>
      <w:proofErr w:type="spellStart"/>
      <w:r w:rsidRPr="00AB494D">
        <w:t>kobuvirus</w:t>
      </w:r>
      <w:proofErr w:type="spellEnd"/>
      <w:r w:rsidRPr="00AB494D">
        <w:t xml:space="preserve"> from stray dogs in Shanghai, China</w:t>
      </w:r>
    </w:p>
    <w:p w14:paraId="2F900E3D" w14:textId="45D78174" w:rsidR="00AB494D" w:rsidRDefault="00AB494D" w:rsidP="00AB494D">
      <w:pPr>
        <w:pStyle w:val="ListParagraph"/>
        <w:numPr>
          <w:ilvl w:val="0"/>
          <w:numId w:val="3"/>
        </w:numPr>
      </w:pPr>
      <w:r>
        <w:t>Deng 2023</w:t>
      </w:r>
    </w:p>
    <w:p w14:paraId="1F811C75" w14:textId="136F51C7" w:rsidR="00AB494D" w:rsidRDefault="00AB494D" w:rsidP="00AB494D">
      <w:pPr>
        <w:pStyle w:val="ListParagraph"/>
        <w:numPr>
          <w:ilvl w:val="0"/>
          <w:numId w:val="3"/>
        </w:numPr>
      </w:pPr>
      <w:r w:rsidRPr="00AB494D">
        <w:t>Bayesian skyline coalescent was set as the tree prior. Markov chain Monte Carlo (MCMC) sampling was run twice independently for 50,000,000 generations with 10% burn-in</w:t>
      </w:r>
    </w:p>
    <w:p w14:paraId="2CCA1BFE" w14:textId="3356DFC9" w:rsidR="00AB494D" w:rsidRDefault="00AB494D" w:rsidP="00AB494D">
      <w:pPr>
        <w:pStyle w:val="ListParagraph"/>
        <w:numPr>
          <w:ilvl w:val="0"/>
          <w:numId w:val="3"/>
        </w:numPr>
      </w:pPr>
      <w:r w:rsidRPr="00AB494D">
        <w:t>relaxed lognormal clock was used as the clock model</w:t>
      </w:r>
    </w:p>
    <w:p w14:paraId="7750F5CB" w14:textId="77777777" w:rsidR="00AB494D" w:rsidRDefault="00AB494D" w:rsidP="00AB494D">
      <w:r w:rsidRPr="00AB494D">
        <w:t xml:space="preserve">Molecular characterization of Porcine </w:t>
      </w:r>
      <w:proofErr w:type="spellStart"/>
      <w:r w:rsidRPr="00AB494D">
        <w:t>sapelovirus</w:t>
      </w:r>
      <w:proofErr w:type="spellEnd"/>
      <w:r w:rsidRPr="00AB494D">
        <w:t xml:space="preserve"> in Hunan, China </w:t>
      </w:r>
    </w:p>
    <w:p w14:paraId="3F9711F7" w14:textId="78C47A91" w:rsidR="00B71C69" w:rsidRDefault="00B71C69" w:rsidP="00B71C69">
      <w:pPr>
        <w:pStyle w:val="ListParagraph"/>
        <w:numPr>
          <w:ilvl w:val="0"/>
          <w:numId w:val="4"/>
        </w:numPr>
      </w:pPr>
      <w:r>
        <w:t>Yang 2017</w:t>
      </w:r>
    </w:p>
    <w:p w14:paraId="598D6674" w14:textId="77777777" w:rsidR="00B71C69" w:rsidRPr="00B71C69" w:rsidRDefault="00B71C69" w:rsidP="00B71C69">
      <w:pPr>
        <w:pStyle w:val="ListParagraph"/>
        <w:numPr>
          <w:ilvl w:val="0"/>
          <w:numId w:val="4"/>
        </w:numPr>
      </w:pPr>
      <w:r w:rsidRPr="00B71C69">
        <w:t xml:space="preserve">a relaxed molecular clock with an uncorrelated log-normal distribution of rates and a chain length of 1108 generations was used, with sampling every 1000 generations, using an extended Bayesian skyline plot as a tree prior, and the burn-in was set at 10 % of the sampled states </w:t>
      </w:r>
    </w:p>
    <w:p w14:paraId="0439AB70" w14:textId="77777777" w:rsidR="00B71C69" w:rsidRPr="00AB494D" w:rsidRDefault="00B71C69" w:rsidP="00B71C69">
      <w:pPr>
        <w:pStyle w:val="ListParagraph"/>
        <w:numPr>
          <w:ilvl w:val="0"/>
          <w:numId w:val="4"/>
        </w:numPr>
      </w:pPr>
    </w:p>
    <w:p w14:paraId="35091578" w14:textId="77777777" w:rsidR="00AB494D" w:rsidRDefault="00AB494D" w:rsidP="00AB494D"/>
    <w:p w14:paraId="708A5436" w14:textId="77777777" w:rsidR="00E614E4" w:rsidRDefault="00E614E4" w:rsidP="00E614E4"/>
    <w:p w14:paraId="385EC163" w14:textId="77777777" w:rsidR="00E614E4" w:rsidRDefault="00E614E4" w:rsidP="00E614E4"/>
    <w:p w14:paraId="44480154" w14:textId="64906DAE" w:rsidR="00E614E4" w:rsidRDefault="00E614E4" w:rsidP="00E614E4">
      <w:r>
        <w:t>Substitution rates</w:t>
      </w:r>
      <w:r w:rsidR="00272390">
        <w:t xml:space="preserve"> for </w:t>
      </w:r>
      <w:proofErr w:type="spellStart"/>
      <w:r w:rsidR="00272390">
        <w:t>mada</w:t>
      </w:r>
      <w:proofErr w:type="spellEnd"/>
      <w:r w:rsidR="00272390">
        <w:t xml:space="preserve"> genera</w:t>
      </w:r>
    </w:p>
    <w:p w14:paraId="113C3554" w14:textId="77777777" w:rsidR="00E614E4" w:rsidRDefault="00E614E4" w:rsidP="00E614E4"/>
    <w:tbl>
      <w:tblPr>
        <w:tblStyle w:val="TableGrid"/>
        <w:tblW w:w="10132" w:type="dxa"/>
        <w:tblLook w:val="04A0" w:firstRow="1" w:lastRow="0" w:firstColumn="1" w:lastColumn="0" w:noHBand="0" w:noVBand="1"/>
      </w:tblPr>
      <w:tblGrid>
        <w:gridCol w:w="1762"/>
        <w:gridCol w:w="1789"/>
        <w:gridCol w:w="2429"/>
        <w:gridCol w:w="2076"/>
        <w:gridCol w:w="2076"/>
      </w:tblGrid>
      <w:tr w:rsidR="00E614E4" w14:paraId="5C3543F7" w14:textId="72D657F1" w:rsidTr="00E614E4">
        <w:trPr>
          <w:trHeight w:val="640"/>
        </w:trPr>
        <w:tc>
          <w:tcPr>
            <w:tcW w:w="1762" w:type="dxa"/>
          </w:tcPr>
          <w:p w14:paraId="48850118" w14:textId="1EA79A81" w:rsidR="00E614E4" w:rsidRDefault="00E614E4" w:rsidP="00E614E4">
            <w:r>
              <w:lastRenderedPageBreak/>
              <w:t>Genus</w:t>
            </w:r>
          </w:p>
        </w:tc>
        <w:tc>
          <w:tcPr>
            <w:tcW w:w="1789" w:type="dxa"/>
          </w:tcPr>
          <w:p w14:paraId="3187CF56" w14:textId="1CD793FC" w:rsidR="00E614E4" w:rsidRDefault="00E614E4" w:rsidP="00E614E4">
            <w:r>
              <w:t>Species</w:t>
            </w:r>
          </w:p>
        </w:tc>
        <w:tc>
          <w:tcPr>
            <w:tcW w:w="2429" w:type="dxa"/>
          </w:tcPr>
          <w:p w14:paraId="4229D302" w14:textId="130FF1E6" w:rsidR="00E614E4" w:rsidRDefault="00E614E4" w:rsidP="00E614E4">
            <w:r>
              <w:t>Substitution rate</w:t>
            </w:r>
          </w:p>
        </w:tc>
        <w:tc>
          <w:tcPr>
            <w:tcW w:w="2076" w:type="dxa"/>
          </w:tcPr>
          <w:p w14:paraId="5990D97A" w14:textId="73567A7D" w:rsidR="00E614E4" w:rsidRDefault="00E614E4" w:rsidP="00E614E4">
            <w:r>
              <w:t>Reference</w:t>
            </w:r>
          </w:p>
        </w:tc>
        <w:tc>
          <w:tcPr>
            <w:tcW w:w="2076" w:type="dxa"/>
          </w:tcPr>
          <w:p w14:paraId="23F8B861" w14:textId="1809DE98" w:rsidR="00E614E4" w:rsidRDefault="00E614E4" w:rsidP="00E614E4">
            <w:r>
              <w:t>Target</w:t>
            </w:r>
          </w:p>
        </w:tc>
      </w:tr>
      <w:tr w:rsidR="00E614E4" w14:paraId="690275C3" w14:textId="17C6366F" w:rsidTr="00E614E4">
        <w:trPr>
          <w:trHeight w:val="308"/>
        </w:trPr>
        <w:tc>
          <w:tcPr>
            <w:tcW w:w="1762" w:type="dxa"/>
          </w:tcPr>
          <w:p w14:paraId="027D3014" w14:textId="77D1DFF6" w:rsidR="00E614E4" w:rsidRDefault="00272390" w:rsidP="00E614E4">
            <w:proofErr w:type="spellStart"/>
            <w:r>
              <w:t>Lesavirus</w:t>
            </w:r>
            <w:proofErr w:type="spellEnd"/>
          </w:p>
        </w:tc>
        <w:tc>
          <w:tcPr>
            <w:tcW w:w="1789" w:type="dxa"/>
          </w:tcPr>
          <w:p w14:paraId="17AA1E79" w14:textId="10DC9239" w:rsidR="00E614E4" w:rsidRDefault="00272390" w:rsidP="00E614E4">
            <w:proofErr w:type="spellStart"/>
            <w:r>
              <w:t>Lesavirus</w:t>
            </w:r>
            <w:proofErr w:type="spellEnd"/>
            <w:r>
              <w:t xml:space="preserve"> 1 and 2</w:t>
            </w:r>
          </w:p>
        </w:tc>
        <w:tc>
          <w:tcPr>
            <w:tcW w:w="2429" w:type="dxa"/>
          </w:tcPr>
          <w:p w14:paraId="745FCC11" w14:textId="3792528A" w:rsidR="00E614E4" w:rsidRDefault="00272390" w:rsidP="00E614E4">
            <w:r w:rsidRPr="00272390">
              <w:t>9.22 × 10</w:t>
            </w:r>
            <w:r w:rsidRPr="00272390">
              <w:rPr>
                <w:vertAlign w:val="superscript"/>
              </w:rPr>
              <w:t>−3</w:t>
            </w:r>
            <w:r w:rsidRPr="00272390">
              <w:t> and 8.26 × 10</w:t>
            </w:r>
            <w:r w:rsidRPr="00272390">
              <w:rPr>
                <w:vertAlign w:val="superscript"/>
              </w:rPr>
              <w:t>−3</w:t>
            </w:r>
            <w:r w:rsidRPr="00272390">
              <w:t> </w:t>
            </w:r>
          </w:p>
        </w:tc>
        <w:tc>
          <w:tcPr>
            <w:tcW w:w="2076" w:type="dxa"/>
          </w:tcPr>
          <w:p w14:paraId="1A249D4B" w14:textId="4C352540" w:rsidR="00E614E4" w:rsidRDefault="00272390" w:rsidP="00E614E4">
            <w:r>
              <w:t>Lim 2015</w:t>
            </w:r>
          </w:p>
        </w:tc>
        <w:tc>
          <w:tcPr>
            <w:tcW w:w="2076" w:type="dxa"/>
          </w:tcPr>
          <w:p w14:paraId="2A2307F5" w14:textId="27EF95CF" w:rsidR="00E614E4" w:rsidRDefault="00E614E4" w:rsidP="00E614E4">
            <w:r>
              <w:t>VP1</w:t>
            </w:r>
          </w:p>
        </w:tc>
      </w:tr>
      <w:tr w:rsidR="00E614E4" w14:paraId="03467ED4" w14:textId="1CF50E5C" w:rsidTr="00E614E4">
        <w:trPr>
          <w:trHeight w:val="308"/>
        </w:trPr>
        <w:tc>
          <w:tcPr>
            <w:tcW w:w="1762" w:type="dxa"/>
          </w:tcPr>
          <w:p w14:paraId="1E6CB3E7" w14:textId="425D4958" w:rsidR="00E614E4" w:rsidRDefault="00272390" w:rsidP="00E614E4">
            <w:proofErr w:type="spellStart"/>
            <w:r>
              <w:t>Mischivirus</w:t>
            </w:r>
            <w:proofErr w:type="spellEnd"/>
          </w:p>
        </w:tc>
        <w:tc>
          <w:tcPr>
            <w:tcW w:w="1789" w:type="dxa"/>
          </w:tcPr>
          <w:p w14:paraId="4B3E5446" w14:textId="2D01CC38" w:rsidR="00E614E4" w:rsidRDefault="00272390" w:rsidP="00E614E4">
            <w:r>
              <w:t>Can’t find any papers</w:t>
            </w:r>
          </w:p>
        </w:tc>
        <w:tc>
          <w:tcPr>
            <w:tcW w:w="2429" w:type="dxa"/>
          </w:tcPr>
          <w:p w14:paraId="3133D37A" w14:textId="77777777" w:rsidR="00E614E4" w:rsidRDefault="00E614E4" w:rsidP="00E614E4"/>
        </w:tc>
        <w:tc>
          <w:tcPr>
            <w:tcW w:w="2076" w:type="dxa"/>
          </w:tcPr>
          <w:p w14:paraId="2C44C531" w14:textId="77777777" w:rsidR="00E614E4" w:rsidRDefault="00E614E4" w:rsidP="00E614E4"/>
        </w:tc>
        <w:tc>
          <w:tcPr>
            <w:tcW w:w="2076" w:type="dxa"/>
          </w:tcPr>
          <w:p w14:paraId="0034966C" w14:textId="77777777" w:rsidR="00E614E4" w:rsidRDefault="00E614E4" w:rsidP="00E614E4"/>
        </w:tc>
      </w:tr>
      <w:tr w:rsidR="00E614E4" w14:paraId="2A678B6C" w14:textId="7C7B6D25" w:rsidTr="00E614E4">
        <w:trPr>
          <w:trHeight w:val="308"/>
        </w:trPr>
        <w:tc>
          <w:tcPr>
            <w:tcW w:w="1762" w:type="dxa"/>
          </w:tcPr>
          <w:p w14:paraId="427C41F1" w14:textId="65534162" w:rsidR="00E614E4" w:rsidRDefault="00272390" w:rsidP="00E614E4">
            <w:proofErr w:type="spellStart"/>
            <w:r>
              <w:t>Kunsagivirus</w:t>
            </w:r>
            <w:proofErr w:type="spellEnd"/>
          </w:p>
        </w:tc>
        <w:tc>
          <w:tcPr>
            <w:tcW w:w="1789" w:type="dxa"/>
          </w:tcPr>
          <w:p w14:paraId="33FA8A7F" w14:textId="1F5526FB" w:rsidR="00E614E4" w:rsidRDefault="00272390" w:rsidP="00E614E4">
            <w:r>
              <w:t>Can’t find any papers</w:t>
            </w:r>
          </w:p>
        </w:tc>
        <w:tc>
          <w:tcPr>
            <w:tcW w:w="2429" w:type="dxa"/>
          </w:tcPr>
          <w:p w14:paraId="2D9FF511" w14:textId="77777777" w:rsidR="00E614E4" w:rsidRDefault="00E614E4" w:rsidP="00E614E4"/>
        </w:tc>
        <w:tc>
          <w:tcPr>
            <w:tcW w:w="2076" w:type="dxa"/>
          </w:tcPr>
          <w:p w14:paraId="6C89593A" w14:textId="77777777" w:rsidR="00E614E4" w:rsidRDefault="00E614E4" w:rsidP="00E614E4"/>
        </w:tc>
        <w:tc>
          <w:tcPr>
            <w:tcW w:w="2076" w:type="dxa"/>
          </w:tcPr>
          <w:p w14:paraId="26172253" w14:textId="77777777" w:rsidR="00E614E4" w:rsidRDefault="00E614E4" w:rsidP="00E614E4"/>
        </w:tc>
      </w:tr>
      <w:tr w:rsidR="00E614E4" w14:paraId="1212001D" w14:textId="608C9202" w:rsidTr="00E614E4">
        <w:trPr>
          <w:trHeight w:val="308"/>
        </w:trPr>
        <w:tc>
          <w:tcPr>
            <w:tcW w:w="1762" w:type="dxa"/>
          </w:tcPr>
          <w:p w14:paraId="615C6A40" w14:textId="656E9C73" w:rsidR="00E614E4" w:rsidRDefault="00272390" w:rsidP="00E614E4">
            <w:proofErr w:type="spellStart"/>
            <w:r>
              <w:t>Kobuvirus</w:t>
            </w:r>
            <w:proofErr w:type="spellEnd"/>
          </w:p>
        </w:tc>
        <w:tc>
          <w:tcPr>
            <w:tcW w:w="1789" w:type="dxa"/>
          </w:tcPr>
          <w:p w14:paraId="3165060C" w14:textId="19655F96" w:rsidR="00E614E4" w:rsidRDefault="00272390" w:rsidP="00E614E4">
            <w:r>
              <w:t xml:space="preserve">Canine </w:t>
            </w:r>
            <w:proofErr w:type="spellStart"/>
            <w:r>
              <w:t>kobuvirus</w:t>
            </w:r>
            <w:proofErr w:type="spellEnd"/>
          </w:p>
        </w:tc>
        <w:tc>
          <w:tcPr>
            <w:tcW w:w="2429" w:type="dxa"/>
          </w:tcPr>
          <w:p w14:paraId="0BA5CA50" w14:textId="1631E0F5" w:rsidR="00E614E4" w:rsidRDefault="00272390" w:rsidP="00E614E4">
            <w:r w:rsidRPr="00272390">
              <w:t>1.36 × 10</w:t>
            </w:r>
            <w:r w:rsidRPr="00272390">
              <w:rPr>
                <w:vertAlign w:val="superscript"/>
              </w:rPr>
              <w:t>−4</w:t>
            </w:r>
          </w:p>
        </w:tc>
        <w:tc>
          <w:tcPr>
            <w:tcW w:w="2076" w:type="dxa"/>
          </w:tcPr>
          <w:p w14:paraId="724F0B44" w14:textId="7BB7AEE1" w:rsidR="00E614E4" w:rsidRDefault="00980E5B" w:rsidP="00E614E4">
            <w:r>
              <w:t>Deng 2023</w:t>
            </w:r>
          </w:p>
        </w:tc>
        <w:tc>
          <w:tcPr>
            <w:tcW w:w="2076" w:type="dxa"/>
          </w:tcPr>
          <w:p w14:paraId="0BCA37FD" w14:textId="092B1F41" w:rsidR="00E614E4" w:rsidRDefault="00272390" w:rsidP="00E614E4">
            <w:r>
              <w:t>VP1</w:t>
            </w:r>
          </w:p>
        </w:tc>
      </w:tr>
      <w:tr w:rsidR="00E614E4" w14:paraId="3654B37F" w14:textId="67D28F8B" w:rsidTr="00E614E4">
        <w:trPr>
          <w:trHeight w:val="330"/>
        </w:trPr>
        <w:tc>
          <w:tcPr>
            <w:tcW w:w="1762" w:type="dxa"/>
          </w:tcPr>
          <w:p w14:paraId="579B062A" w14:textId="76A73484" w:rsidR="00E614E4" w:rsidRDefault="00655773" w:rsidP="00E614E4">
            <w:proofErr w:type="spellStart"/>
            <w:r>
              <w:t>Teschovirus</w:t>
            </w:r>
            <w:proofErr w:type="spellEnd"/>
            <w:r>
              <w:t xml:space="preserve"> and </w:t>
            </w:r>
            <w:proofErr w:type="spellStart"/>
            <w:r>
              <w:t>Sapelovirus</w:t>
            </w:r>
            <w:proofErr w:type="spellEnd"/>
          </w:p>
        </w:tc>
        <w:tc>
          <w:tcPr>
            <w:tcW w:w="1789" w:type="dxa"/>
          </w:tcPr>
          <w:p w14:paraId="71486AD9" w14:textId="77777777" w:rsidR="00E614E4" w:rsidRDefault="00E614E4" w:rsidP="00E614E4"/>
        </w:tc>
        <w:tc>
          <w:tcPr>
            <w:tcW w:w="2429" w:type="dxa"/>
          </w:tcPr>
          <w:p w14:paraId="0237EEC3" w14:textId="2AF559E3" w:rsidR="00E614E4" w:rsidRDefault="00655773" w:rsidP="00E614E4">
            <w:r w:rsidRPr="00655773">
              <w:t>1.62</w:t>
            </w:r>
            <w:r>
              <w:t>x10-3</w:t>
            </w:r>
          </w:p>
        </w:tc>
        <w:tc>
          <w:tcPr>
            <w:tcW w:w="2076" w:type="dxa"/>
          </w:tcPr>
          <w:p w14:paraId="36CF5FEB" w14:textId="4FA08B8D" w:rsidR="00E614E4" w:rsidRDefault="00655773" w:rsidP="00E614E4">
            <w:r>
              <w:t>Hicks 2011</w:t>
            </w:r>
          </w:p>
        </w:tc>
        <w:tc>
          <w:tcPr>
            <w:tcW w:w="2076" w:type="dxa"/>
          </w:tcPr>
          <w:p w14:paraId="13D9AEE6" w14:textId="2ADCC4B8" w:rsidR="00E614E4" w:rsidRDefault="00F40C41" w:rsidP="00E614E4">
            <w:r>
              <w:t>VP1</w:t>
            </w:r>
          </w:p>
        </w:tc>
      </w:tr>
      <w:tr w:rsidR="00E614E4" w14:paraId="00B8B33C" w14:textId="21177A82" w:rsidTr="00E614E4">
        <w:trPr>
          <w:trHeight w:val="308"/>
        </w:trPr>
        <w:tc>
          <w:tcPr>
            <w:tcW w:w="1762" w:type="dxa"/>
          </w:tcPr>
          <w:p w14:paraId="6A76DBC9" w14:textId="2EC48447" w:rsidR="00E614E4" w:rsidRDefault="00F40C41" w:rsidP="00E614E4">
            <w:proofErr w:type="spellStart"/>
            <w:r>
              <w:t>hepatovirus</w:t>
            </w:r>
            <w:proofErr w:type="spellEnd"/>
          </w:p>
        </w:tc>
        <w:tc>
          <w:tcPr>
            <w:tcW w:w="1789" w:type="dxa"/>
          </w:tcPr>
          <w:p w14:paraId="6CDAA740" w14:textId="2DC3FD8A" w:rsidR="00E614E4" w:rsidRDefault="00F40C41" w:rsidP="00E614E4">
            <w:r>
              <w:t>Hepatitis C</w:t>
            </w:r>
          </w:p>
        </w:tc>
        <w:tc>
          <w:tcPr>
            <w:tcW w:w="2429" w:type="dxa"/>
          </w:tcPr>
          <w:p w14:paraId="1B4F3E69" w14:textId="355A764F" w:rsidR="00E614E4" w:rsidRPr="00F40C41" w:rsidRDefault="00F40C41" w:rsidP="00E614E4">
            <w:r w:rsidRPr="00F40C41">
              <w:t>3.5 × 10</w:t>
            </w:r>
            <w:r w:rsidRPr="00F40C41">
              <w:rPr>
                <w:vertAlign w:val="superscript"/>
              </w:rPr>
              <w:t>–5</w:t>
            </w:r>
            <w:r w:rsidRPr="00F40C41">
              <w:t> to 1.2 × 10</w:t>
            </w:r>
            <w:r w:rsidRPr="00F40C41">
              <w:rPr>
                <w:vertAlign w:val="superscript"/>
              </w:rPr>
              <w:t>–4</w:t>
            </w:r>
          </w:p>
        </w:tc>
        <w:tc>
          <w:tcPr>
            <w:tcW w:w="2076" w:type="dxa"/>
          </w:tcPr>
          <w:p w14:paraId="4A19F4DF" w14:textId="07293D61" w:rsidR="00E614E4" w:rsidRDefault="00F40C41" w:rsidP="00E614E4">
            <w:r>
              <w:t>Nakamura 2022</w:t>
            </w:r>
          </w:p>
        </w:tc>
        <w:tc>
          <w:tcPr>
            <w:tcW w:w="2076" w:type="dxa"/>
          </w:tcPr>
          <w:p w14:paraId="1CC3959C" w14:textId="77777777" w:rsidR="00E614E4" w:rsidRDefault="00E614E4" w:rsidP="00E614E4"/>
        </w:tc>
      </w:tr>
      <w:tr w:rsidR="00E614E4" w14:paraId="573EC680" w14:textId="164F46FC" w:rsidTr="00E614E4">
        <w:trPr>
          <w:trHeight w:val="286"/>
        </w:trPr>
        <w:tc>
          <w:tcPr>
            <w:tcW w:w="1762" w:type="dxa"/>
          </w:tcPr>
          <w:p w14:paraId="48C0A338" w14:textId="13ABE3D3" w:rsidR="00E614E4" w:rsidRDefault="00F1296B" w:rsidP="00E614E4">
            <w:proofErr w:type="spellStart"/>
            <w:r>
              <w:t>Sapovirus</w:t>
            </w:r>
            <w:proofErr w:type="spellEnd"/>
          </w:p>
        </w:tc>
        <w:tc>
          <w:tcPr>
            <w:tcW w:w="1789" w:type="dxa"/>
          </w:tcPr>
          <w:p w14:paraId="21426B72" w14:textId="571B7E12" w:rsidR="00E614E4" w:rsidRDefault="00E614E4" w:rsidP="00E614E4"/>
        </w:tc>
        <w:tc>
          <w:tcPr>
            <w:tcW w:w="2429" w:type="dxa"/>
          </w:tcPr>
          <w:p w14:paraId="0C20BA07" w14:textId="2C936AF6" w:rsidR="00E614E4" w:rsidRDefault="00F1296B" w:rsidP="00E614E4">
            <w:r w:rsidRPr="00F1296B">
              <w:t> 1.32 × 10</w:t>
            </w:r>
            <w:r w:rsidRPr="00F1296B">
              <w:rPr>
                <w:vertAlign w:val="superscript"/>
              </w:rPr>
              <w:t>−3</w:t>
            </w:r>
            <w:r w:rsidRPr="00F1296B">
              <w:t> to 3.38 × 10</w:t>
            </w:r>
            <w:r w:rsidRPr="00F1296B">
              <w:rPr>
                <w:vertAlign w:val="superscript"/>
              </w:rPr>
              <w:t>−3</w:t>
            </w:r>
          </w:p>
        </w:tc>
        <w:tc>
          <w:tcPr>
            <w:tcW w:w="2076" w:type="dxa"/>
          </w:tcPr>
          <w:p w14:paraId="5E8D4834" w14:textId="3A8B0B8A" w:rsidR="00E614E4" w:rsidRDefault="00F1296B" w:rsidP="00E614E4">
            <w:proofErr w:type="spellStart"/>
            <w:r>
              <w:t>Tohma</w:t>
            </w:r>
            <w:proofErr w:type="spellEnd"/>
            <w:r>
              <w:t xml:space="preserve"> 2020</w:t>
            </w:r>
          </w:p>
        </w:tc>
        <w:tc>
          <w:tcPr>
            <w:tcW w:w="2076" w:type="dxa"/>
          </w:tcPr>
          <w:p w14:paraId="7A62E5B2" w14:textId="7DCF52A6" w:rsidR="00E614E4" w:rsidRDefault="00F1296B" w:rsidP="00E614E4">
            <w:r>
              <w:t>VP1</w:t>
            </w:r>
          </w:p>
        </w:tc>
      </w:tr>
    </w:tbl>
    <w:p w14:paraId="440D09FA" w14:textId="77777777" w:rsidR="00E614E4" w:rsidRPr="00E614E4" w:rsidRDefault="00E614E4" w:rsidP="00E614E4"/>
    <w:sectPr w:rsidR="00E614E4" w:rsidRPr="00E614E4" w:rsidSect="00EA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95189"/>
    <w:multiLevelType w:val="hybridMultilevel"/>
    <w:tmpl w:val="8960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D5FAE"/>
    <w:multiLevelType w:val="hybridMultilevel"/>
    <w:tmpl w:val="DC8E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30F9A"/>
    <w:multiLevelType w:val="hybridMultilevel"/>
    <w:tmpl w:val="8A22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C0CEC"/>
    <w:multiLevelType w:val="hybridMultilevel"/>
    <w:tmpl w:val="E73E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192743">
    <w:abstractNumId w:val="0"/>
  </w:num>
  <w:num w:numId="2" w16cid:durableId="323440068">
    <w:abstractNumId w:val="1"/>
  </w:num>
  <w:num w:numId="3" w16cid:durableId="1048576848">
    <w:abstractNumId w:val="2"/>
  </w:num>
  <w:num w:numId="4" w16cid:durableId="148642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6A"/>
    <w:rsid w:val="000076F2"/>
    <w:rsid w:val="00032F1E"/>
    <w:rsid w:val="000607B1"/>
    <w:rsid w:val="00067C1D"/>
    <w:rsid w:val="000819D1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A6AF2"/>
    <w:rsid w:val="00216006"/>
    <w:rsid w:val="00223664"/>
    <w:rsid w:val="0023602B"/>
    <w:rsid w:val="00236CF2"/>
    <w:rsid w:val="00272390"/>
    <w:rsid w:val="0028337E"/>
    <w:rsid w:val="002A2C25"/>
    <w:rsid w:val="002D26FF"/>
    <w:rsid w:val="002E08B3"/>
    <w:rsid w:val="00303E6A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3373C"/>
    <w:rsid w:val="0046661D"/>
    <w:rsid w:val="00471F6A"/>
    <w:rsid w:val="00486F48"/>
    <w:rsid w:val="00493DAC"/>
    <w:rsid w:val="004B5D59"/>
    <w:rsid w:val="004F1F29"/>
    <w:rsid w:val="004F33A9"/>
    <w:rsid w:val="00506F02"/>
    <w:rsid w:val="00524D04"/>
    <w:rsid w:val="00555EB4"/>
    <w:rsid w:val="00580892"/>
    <w:rsid w:val="0058561C"/>
    <w:rsid w:val="005A12F2"/>
    <w:rsid w:val="005D5936"/>
    <w:rsid w:val="00624F74"/>
    <w:rsid w:val="00655773"/>
    <w:rsid w:val="0066051A"/>
    <w:rsid w:val="006A6DA6"/>
    <w:rsid w:val="006C58B9"/>
    <w:rsid w:val="006C6C9A"/>
    <w:rsid w:val="006C74C7"/>
    <w:rsid w:val="006E1258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942D1"/>
    <w:rsid w:val="008C1A50"/>
    <w:rsid w:val="008C55A1"/>
    <w:rsid w:val="008D1906"/>
    <w:rsid w:val="008E365C"/>
    <w:rsid w:val="008F1EBC"/>
    <w:rsid w:val="00907A04"/>
    <w:rsid w:val="00954AA0"/>
    <w:rsid w:val="00957EDB"/>
    <w:rsid w:val="00980E5B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AB494D"/>
    <w:rsid w:val="00B22163"/>
    <w:rsid w:val="00B271A2"/>
    <w:rsid w:val="00B71C69"/>
    <w:rsid w:val="00BA4314"/>
    <w:rsid w:val="00BA4E80"/>
    <w:rsid w:val="00BD4CF2"/>
    <w:rsid w:val="00C31A2B"/>
    <w:rsid w:val="00C46D9A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14E4"/>
    <w:rsid w:val="00E639E3"/>
    <w:rsid w:val="00E76653"/>
    <w:rsid w:val="00E936C7"/>
    <w:rsid w:val="00EA4A7B"/>
    <w:rsid w:val="00EF0B0A"/>
    <w:rsid w:val="00EF4FE4"/>
    <w:rsid w:val="00F1296B"/>
    <w:rsid w:val="00F40C41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851B9"/>
  <w15:chartTrackingRefBased/>
  <w15:docId w15:val="{63F9DDBE-11FD-9844-9F37-65095789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3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4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1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72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7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4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pmc/articles/PMC3147923/table/T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4405F1-3287-C34A-8FF9-DE553C601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6</cp:revision>
  <dcterms:created xsi:type="dcterms:W3CDTF">2023-08-17T20:35:00Z</dcterms:created>
  <dcterms:modified xsi:type="dcterms:W3CDTF">2023-08-20T06:48:00Z</dcterms:modified>
</cp:coreProperties>
</file>