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sectPr>
      <w:headerReference w:type="default" r:id="rId6"/>
      <w:footerReference w:type="default" r:id="rId7"/>
      <w:pgSz w:w="12240" w:h="15840" w:orient="portrait"/>
      <w:pgMar w:top="1440" w:right="1440" w:bottom="1008" w:left="1440" w:header="720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66666" w:sz="8"/>
      </w:pBdr>
    </w:pPr>
  </w:p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1063 Jackson Avenue, PH G, LIC NY 11101</w:t>
          </w:r>
        </w:p>
      </w:tc>
      <w:tc>
        <w:tcPr>
          <w:tcW w:type="dxa" w:w="336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  <w:jc w:val="right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apr70.com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000"/>
      <w:gridCol w:w="4360"/>
    </w:tblGrid>
    <w:tr>
      <w:tc>
        <w:tcPr>
          <w:tcW w:type="dxa" w:w="5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1428750" cy="428625"/>
                <wp:effectExtent t="0" r="0" b="0" l="0"/>
                <wp:docPr id="1" name="logo" descr="APR 70 logo" title="APR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60"/>
          <w:tcBorders>
            <w:top w:val="none"/>
            <w:left w:val="none"/>
            <w:bottom w:val="none"/>
            <w:right w:val="none"/>
          </w:tcBorders>
        </w:tcPr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333333"/>
              <w:sz w:val="20"/>
              <w:szCs w:val="20"/>
            </w:rPr>
            <w:t xml:space="preserve">Marc Andrew Caruso</w:t>
          </w:r>
        </w:p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caruso@apr70.com</w:t>
          </w:r>
        </w:p>
        <w:p>
          <w:pPr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917.613.0728</w:t>
          </w:r>
        </w:p>
      </w:tc>
    </w:tr>
  </w:tbl>
  <w:p>
    <w:pPr>
      <w:pBdr>
        <w:bottom w:val="single" w:color="666666" w:sz="8"/>
      </w:pBdr>
      <w:spacing w:before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a75a0ec2214751e593c096d5b6ea032a6f0264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2026-02-05T11:07:44.554Z</dcterms:created>
  <dcterms:modified xsi:type="dcterms:W3CDTF">2026-02-05T11:07:44.555Z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