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/>
      </w:pPr>
    </w:p>
    <w:sectPr>
      <w:headerReference w:type="default" r:id="rId6"/>
      <w:footerReference w:type="default" r:id="rId7"/>
      <w:pgSz w:w="12240" w:h="15840" w:orient="portrait"/>
      <w:pgMar w:top="1440" w:right="1440" w:bottom="1008" w:left="1440" w:header="720" w:footer="43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666666" w:sz="8"/>
      </w:pBdr>
    </w:pPr>
  </w:p>
  <w:tbl>
    <w:tblPr>
      <w:tblW w:type="dxa" w:w="936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6000"/>
      <w:gridCol w:w="3360"/>
    </w:tblGrid>
    <w:tr>
      <w:tc>
        <w:tcPr>
          <w:tcW w:type="dxa" w:w="6000"/>
          <w:tcBorders>
            <w:top w:val="none"/>
            <w:left w:val="none"/>
            <w:bottom w:val="none"/>
            <w:right w:val="none"/>
          </w:tcBorders>
        </w:tcPr>
        <w:p>
          <w:pPr>
            <w:spacing w:before="100"/>
          </w:pPr>
          <w:r>
            <w:rPr>
              <w:rFonts w:ascii="Futura" w:cs="Futura" w:eastAsia="Futura" w:hAnsi="Futura"/>
              <w:color w:val="666666"/>
              <w:sz w:val="16"/>
              <w:szCs w:val="16"/>
            </w:rPr>
            <w:t xml:space="preserve">1063 Jackson Avenue, PH G, LIC NY 11101</w:t>
          </w:r>
        </w:p>
      </w:tc>
      <w:tc>
        <w:tcPr>
          <w:tcW w:type="dxa" w:w="3360"/>
          <w:tcBorders>
            <w:top w:val="none"/>
            <w:left w:val="none"/>
            <w:bottom w:val="none"/>
            <w:right w:val="none"/>
          </w:tcBorders>
        </w:tcPr>
        <w:p>
          <w:pPr>
            <w:spacing w:before="100"/>
            <w:jc w:val="right"/>
          </w:pPr>
          <w:r>
            <w:rPr>
              <w:rFonts w:ascii="Futura" w:cs="Futura" w:eastAsia="Futura" w:hAnsi="Futura"/>
              <w:color w:val="666666"/>
              <w:sz w:val="16"/>
              <w:szCs w:val="16"/>
            </w:rPr>
            <w:t xml:space="preserve">apr70.com</w:t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5000"/>
      <w:gridCol w:w="4360"/>
    </w:tblGrid>
    <w:tr>
      <w:tc>
        <w:tcPr>
          <w:tcW w:type="dxa" w:w="5000"/>
          <w:tcBorders>
            <w:top w:val="none"/>
            <w:left w:val="none"/>
            <w:bottom w:val="none"/>
            <w:right w:val="none"/>
          </w:tcBorders>
        </w:tcPr>
        <w:p>
          <w:r>
            <w:drawing>
              <wp:inline distT="0" distB="0" distL="0" distR="0">
                <wp:extent cx="1428750" cy="428625"/>
                <wp:effectExtent t="0" r="0" b="0" l="0"/>
                <wp:docPr id="1" name="logo" descr="APR 70 logo" title="APR 7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8750" cy="4286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360"/>
          <w:tcBorders>
            <w:top w:val="none"/>
            <w:left w:val="none"/>
            <w:bottom w:val="none"/>
            <w:right w:val="none"/>
          </w:tcBorders>
        </w:tcPr>
        <w:p>
          <w:pPr>
            <w:spacing w:after="40"/>
            <w:jc w:val="right"/>
          </w:pPr>
          <w:r>
            <w:rPr>
              <w:rFonts w:ascii="Futura" w:cs="Futura" w:eastAsia="Futura" w:hAnsi="Futura"/>
              <w:color w:val="333333"/>
              <w:sz w:val="20"/>
              <w:szCs w:val="20"/>
            </w:rPr>
            <w:t xml:space="preserve">Marc Andrew Caruso</w:t>
          </w:r>
        </w:p>
        <w:p>
          <w:pPr>
            <w:spacing w:after="40"/>
            <w:jc w:val="right"/>
          </w:pPr>
          <w:r>
            <w:rPr>
              <w:rFonts w:ascii="Futura" w:cs="Futura" w:eastAsia="Futura" w:hAnsi="Futura"/>
              <w:color w:val="666666"/>
              <w:sz w:val="18"/>
              <w:szCs w:val="18"/>
            </w:rPr>
            <w:t xml:space="preserve">caruso@apr70.com</w:t>
          </w:r>
        </w:p>
        <w:p>
          <w:pPr>
            <w:jc w:val="right"/>
          </w:pPr>
          <w:r>
            <w:rPr>
              <w:rFonts w:ascii="Futura" w:cs="Futura" w:eastAsia="Futura" w:hAnsi="Futura"/>
              <w:color w:val="666666"/>
              <w:sz w:val="18"/>
              <w:szCs w:val="18"/>
            </w:rPr>
            <w:t xml:space="preserve">917.613.0728</w:t>
          </w:r>
        </w:p>
      </w:tc>
    </w:tr>
  </w:tbl>
  <w:p>
    <w:pPr>
      <w:pBdr>
        <w:bottom w:val="single" w:color="666666" w:sz="8"/>
      </w:pBdr>
      <w:spacing w:before="20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Futura" w:cs="Futura" w:eastAsia="Futura" w:hAnsi="Futura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b474e810449930be402e1970b370b0bcfb10643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2026-02-05T11:07:44.686Z</dcterms:created>
  <dcterms:modified xsi:type="dcterms:W3CDTF">2026-02-05T11:07:44.686Z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