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QLD Mining Supervisor</w:t>
      </w:r>
    </w:p>
    <w:p>
      <w:pPr>
        <w:pStyle w:val="Subtitle"/>
      </w:pPr>
      <w:r>
        <w:t xml:space="preserve">Job Description Analysis: content analysis of 57 job descriptions across coal, minerals and quarry sectors</w:t>
      </w:r>
    </w:p>
    <w:p>
      <w:pPr>
        <w:pStyle w:val="Author"/>
      </w:pPr>
      <w:r>
        <w:t xml:space="preserve">Brooklyn Corbett</w:t>
      </w:r>
    </w:p>
    <w:p>
      <w:pPr>
        <w:pStyle w:val="Date"/>
      </w:pPr>
      <w:r>
        <w:t xml:space="preserve">2026-05-19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9" w:name="executive-summary"/>
    <w:p>
      <w:pPr>
        <w:pStyle w:val="Heading1"/>
      </w:pPr>
      <w:r>
        <w:t xml:space="preserve">1. Executive summary</w:t>
      </w:r>
    </w:p>
    <w:p>
      <w:pPr>
        <w:pStyle w:val="FirstParagraph"/>
      </w:pPr>
      <w:r>
        <w:t xml:space="preserve">This analysis examined the content of</w:t>
      </w:r>
      <w:r>
        <w:t xml:space="preserve"> </w:t>
      </w:r>
      <w:r>
        <w:rPr>
          <w:b/>
          <w:bCs/>
        </w:rPr>
        <w:t xml:space="preserve">57 job descriptions</w:t>
      </w:r>
      <w:r>
        <w:t xml:space="preserve"> </w:t>
      </w:r>
      <w:r>
        <w:t xml:space="preserve">for frontline supervisor roles in Queensland mining, quarrying and related operations. Each JD was systematically coded against a project-specific codebook of</w:t>
      </w:r>
      <w:r>
        <w:t xml:space="preserve"> </w:t>
      </w:r>
      <w:r>
        <w:rPr>
          <w:b/>
          <w:bCs/>
        </w:rPr>
        <w:t xml:space="preserve">87 codes across 6 categories</w:t>
      </w:r>
      <w:r>
        <w:t xml:space="preserve">: duties performed, personal dispositions, formal qualifications, domain knowledge, prior experience, and named statutory positions.</w:t>
      </w:r>
    </w:p>
    <w:p>
      <w:pPr>
        <w:pStyle w:val="BodyText"/>
      </w:pPr>
      <w:r>
        <w:rPr>
          <w:b/>
          <w:bCs/>
        </w:rPr>
        <w:t xml:space="preserve">Headline observations:</w:t>
      </w:r>
    </w:p>
    <w:p>
      <w:pPr>
        <w:pStyle w:val="Compact"/>
        <w:numPr>
          <w:ilvl w:val="0"/>
          <w:numId w:val="1001"/>
        </w:numPr>
      </w:pPr>
      <w:r>
        <w:t xml:space="preserve">The most-named single expectation in the corpus is supervisory experience (E1), which appears in 43 of 57 JDs (75%).</w:t>
      </w:r>
    </w:p>
    <w:p>
      <w:pPr>
        <w:pStyle w:val="Compact"/>
        <w:numPr>
          <w:ilvl w:val="0"/>
          <w:numId w:val="1001"/>
        </w:numPr>
      </w:pPr>
      <w:r>
        <w:t xml:space="preserve">The three most-named duties are: supervise and lead crews/contractors (D1) in 34 JDs (60%), promote and uphold safety culture (D6) in 30 JDs (53%), and coach, mentor and develop team capability (D2) in 28 JDs (49%).</w:t>
      </w:r>
    </w:p>
    <w:p>
      <w:pPr>
        <w:pStyle w:val="Compact"/>
        <w:numPr>
          <w:ilvl w:val="0"/>
          <w:numId w:val="1001"/>
        </w:numPr>
      </w:pPr>
      <w:r>
        <w:t xml:space="preserve">The most-named disposition is strong communicator (DP2), appearing in 31 JDs (54%).</w:t>
      </w:r>
    </w:p>
    <w:p>
      <w:pPr>
        <w:pStyle w:val="Compact"/>
        <w:numPr>
          <w:ilvl w:val="0"/>
          <w:numId w:val="1001"/>
        </w:numPr>
      </w:pPr>
      <w:r>
        <w:t xml:space="preserve">The most-named formal qualification is a driver’s licence (Q11), appearing in 18 JDs (31%); the next most common are trade qualification (Q9) in 17 JDs (29%) and Standard 11 (Q1) in 12 JDs (20%).</w:t>
      </w:r>
    </w:p>
    <w:p>
      <w:pPr>
        <w:pStyle w:val="Compact"/>
        <w:numPr>
          <w:ilvl w:val="0"/>
          <w:numId w:val="1001"/>
        </w:numPr>
      </w:pPr>
      <w:r>
        <w:t xml:space="preserve">51 of 57 JDs (89%) contain at least one of the four safety-related codes (D4, D5, D6, DP1).</w:t>
      </w:r>
    </w:p>
    <w:p>
      <w:pPr>
        <w:pStyle w:val="Compact"/>
        <w:numPr>
          <w:ilvl w:val="0"/>
          <w:numId w:val="1001"/>
        </w:numPr>
      </w:pPr>
      <w:r>
        <w:t xml:space="preserve">Statutory positions are explicitly named in only 4 of 57 JDs: Open Cut Examiner (2 JDs), Statutory Underground Shift Supervisor (1 JD), and Shotfirer (1 JD). The remaining 53 JDs require statutory tickets without explicitly being statutory positions.</w:t>
      </w:r>
    </w:p>
    <w:bookmarkEnd w:id="19"/>
    <w:bookmarkStart w:id="25" w:name="sample-description"/>
    <w:p>
      <w:pPr>
        <w:pStyle w:val="Heading1"/>
      </w:pPr>
      <w:r>
        <w:t xml:space="preserve">2. Sample description</w:t>
      </w:r>
    </w:p>
    <w:bookmarkStart w:id="21" w:name="corpus"/>
    <w:p>
      <w:pPr>
        <w:pStyle w:val="Heading2"/>
      </w:pPr>
      <w:r>
        <w:t xml:space="preserve">2.1 Corpus</w:t>
      </w:r>
    </w:p>
    <w:tbl>
      <w:tblPr>
        <w:tblStyle w:val="Table"/>
        <w:tblW w:type="pct" w:w="5000"/>
        <w:tblLayout w:type="fixed"/>
        <w:tblLook w:firstRow="0" w:lastRow="0" w:firstColumn="0" w:lastColumn="0" w:noHBand="0" w:noVBand="0" w:val="0000"/>
        <w:tblBorders>
          <w:top w:val="nil"/>
          <w:bottom w:val="nil"/>
          <w:left w:val="nil"/>
          <w:right w:val="nil"/>
          <w:insideH w:val="nil"/>
          <w:insideV w:val="nil"/>
        </w:tblBorders>
      </w:tblPr>
      <w:tblGrid>
        <w:gridCol w:w="7920"/>
      </w:tblGrid>
      <w:tr>
        <w:tc>
          <w:tcPr>
            <w:tcBorders>
              <w:top w:val="nil"/>
              <w:bottom w:val="nil"/>
              <w:left w:val="nil"/>
              <w:right w:val="nil"/>
            </w:tcBorders>
          </w:tcPr>
          <w:bookmarkStart w:id="20" w:name="tbl-sample"/>
          <w:p>
            <w:pPr>
              <w:jc w:val="center"/>
            </w:pPr>
            <w:pPr>
              <w:jc w:val="left"/>
              <w:spacing w:before="200"/>
              <w:pStyle w:val="ImageCaption"/>
            </w:pPr>
            <w:r>
              <w:t xml:space="preserve">Table 1: Sample of in-scope JDs by sector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sector</w:t>
                  </w:r>
                </w:p>
              </w:tc>
              <w:tc>
                <w:tcPr/>
                <w:p>
                  <w:pPr>
                    <w:pStyle w:val="Compact"/>
                    <w:jc w:val="right"/>
                    <w:jc w:val="center"/>
                  </w:pPr>
                  <w:r>
                    <w:t xml:space="preserve">n</w:t>
                  </w:r>
                </w:p>
              </w:tc>
              <w:tc>
                <w:tcPr/>
                <w:p>
                  <w:pPr>
                    <w:pStyle w:val="Compact"/>
                    <w:jc w:val="right"/>
                    <w:jc w:val="center"/>
                  </w:pPr>
                  <w:r>
                    <w:t xml:space="preserve">% of sample</w:t>
                  </w:r>
                </w:p>
              </w:tc>
            </w:tr>
            <w:tr>
              <w:tc>
                <w:tcPr/>
                <w:p>
                  <w:pPr>
                    <w:pStyle w:val="Compact"/>
                    <w:jc w:val="left"/>
                    <w:jc w:val="center"/>
                  </w:pPr>
                  <w:r>
                    <w:t xml:space="preserve">Coal - Surface</w:t>
                  </w:r>
                </w:p>
              </w:tc>
              <w:tc>
                <w:tcPr/>
                <w:p>
                  <w:pPr>
                    <w:pStyle w:val="Compact"/>
                    <w:jc w:val="right"/>
                    <w:jc w:val="center"/>
                  </w:pPr>
                  <w:r>
                    <w:t xml:space="preserve">29</w:t>
                  </w:r>
                </w:p>
              </w:tc>
              <w:tc>
                <w:tcPr/>
                <w:p>
                  <w:pPr>
                    <w:pStyle w:val="Compact"/>
                    <w:jc w:val="right"/>
                    <w:jc w:val="center"/>
                  </w:pPr>
                  <w:r>
                    <w:t xml:space="preserve">50.9</w:t>
                  </w:r>
                </w:p>
              </w:tc>
            </w:tr>
            <w:tr>
              <w:tc>
                <w:tcPr/>
                <w:p>
                  <w:pPr>
                    <w:pStyle w:val="Compact"/>
                    <w:jc w:val="left"/>
                    <w:jc w:val="center"/>
                  </w:pPr>
                  <w:r>
                    <w:t xml:space="preserve">Coal - Underground</w:t>
                  </w:r>
                </w:p>
              </w:tc>
              <w:tc>
                <w:tcPr/>
                <w:p>
                  <w:pPr>
                    <w:pStyle w:val="Compact"/>
                    <w:jc w:val="right"/>
                    <w:jc w:val="center"/>
                  </w:pPr>
                  <w:r>
                    <w:t xml:space="preserve">3</w:t>
                  </w:r>
                </w:p>
              </w:tc>
              <w:tc>
                <w:tcPr/>
                <w:p>
                  <w:pPr>
                    <w:pStyle w:val="Compact"/>
                    <w:jc w:val="right"/>
                    <w:jc w:val="center"/>
                  </w:pPr>
                  <w:r>
                    <w:t xml:space="preserve">5.3</w:t>
                  </w:r>
                </w:p>
              </w:tc>
            </w:tr>
            <w:tr>
              <w:tc>
                <w:tcPr/>
                <w:p>
                  <w:pPr>
                    <w:pStyle w:val="Compact"/>
                    <w:jc w:val="left"/>
                    <w:jc w:val="center"/>
                  </w:pPr>
                  <w:r>
                    <w:t xml:space="preserve">Minerals - Surface</w:t>
                  </w:r>
                </w:p>
              </w:tc>
              <w:tc>
                <w:tcPr/>
                <w:p>
                  <w:pPr>
                    <w:pStyle w:val="Compact"/>
                    <w:jc w:val="right"/>
                    <w:jc w:val="center"/>
                  </w:pPr>
                  <w:r>
                    <w:t xml:space="preserve">12</w:t>
                  </w:r>
                </w:p>
              </w:tc>
              <w:tc>
                <w:tcPr/>
                <w:p>
                  <w:pPr>
                    <w:pStyle w:val="Compact"/>
                    <w:jc w:val="right"/>
                    <w:jc w:val="center"/>
                  </w:pPr>
                  <w:r>
                    <w:t xml:space="preserve">21.1</w:t>
                  </w:r>
                </w:p>
              </w:tc>
            </w:tr>
            <w:tr>
              <w:tc>
                <w:tcPr/>
                <w:p>
                  <w:pPr>
                    <w:pStyle w:val="Compact"/>
                    <w:jc w:val="left"/>
                    <w:jc w:val="center"/>
                  </w:pPr>
                  <w:r>
                    <w:t xml:space="preserve">Minerals - Underground</w:t>
                  </w:r>
                </w:p>
              </w:tc>
              <w:tc>
                <w:tcPr/>
                <w:p>
                  <w:pPr>
                    <w:pStyle w:val="Compact"/>
                    <w:jc w:val="right"/>
                    <w:jc w:val="center"/>
                  </w:pPr>
                  <w:r>
                    <w:t xml:space="preserve">6</w:t>
                  </w:r>
                </w:p>
              </w:tc>
              <w:tc>
                <w:tcPr/>
                <w:p>
                  <w:pPr>
                    <w:pStyle w:val="Compact"/>
                    <w:jc w:val="right"/>
                    <w:jc w:val="center"/>
                  </w:pPr>
                  <w:r>
                    <w:t xml:space="preserve">10.5</w:t>
                  </w:r>
                </w:p>
              </w:tc>
            </w:tr>
            <w:tr>
              <w:tc>
                <w:tcPr/>
                <w:p>
                  <w:pPr>
                    <w:pStyle w:val="Compact"/>
                    <w:jc w:val="left"/>
                    <w:jc w:val="center"/>
                  </w:pPr>
                  <w:r>
                    <w:t xml:space="preserve">Quarry</w:t>
                  </w:r>
                </w:p>
              </w:tc>
              <w:tc>
                <w:tcPr/>
                <w:p>
                  <w:pPr>
                    <w:pStyle w:val="Compact"/>
                    <w:jc w:val="right"/>
                    <w:jc w:val="center"/>
                  </w:pPr>
                  <w:r>
                    <w:t xml:space="preserve">7</w:t>
                  </w:r>
                </w:p>
              </w:tc>
              <w:tc>
                <w:tcPr/>
                <w:p>
                  <w:pPr>
                    <w:pStyle w:val="Compact"/>
                    <w:jc w:val="right"/>
                    <w:jc w:val="center"/>
                  </w:pPr>
                  <w:r>
                    <w:t xml:space="preserve">12.3</w:t>
                  </w:r>
                </w:p>
              </w:tc>
            </w:tr>
          </w:tbl>
          <w:bookmarkEnd w:id="20"/>
          <w:p/>
        </w:tc>
      </w:tr>
    </w:tbl>
    <w:bookmarkEnd w:id="21"/>
    <w:bookmarkStart w:id="23" w:name="role-types"/>
    <w:p>
      <w:pPr>
        <w:pStyle w:val="Heading2"/>
      </w:pPr>
      <w:r>
        <w:t xml:space="preserve">2.2 Role types</w:t>
      </w:r>
    </w:p>
    <w:tbl>
      <w:tblPr>
        <w:tblStyle w:val="Table"/>
        <w:tblW w:type="pct" w:w="5000"/>
        <w:tblLayout w:type="fixed"/>
        <w:tblLook w:firstRow="0" w:lastRow="0" w:firstColumn="0" w:lastColumn="0" w:noHBand="0" w:noVBand="0" w:val="0000"/>
        <w:tblBorders>
          <w:top w:val="nil"/>
          <w:bottom w:val="nil"/>
          <w:left w:val="nil"/>
          <w:right w:val="nil"/>
          <w:insideH w:val="nil"/>
          <w:insideV w:val="nil"/>
        </w:tblBorders>
      </w:tblPr>
      <w:tblGrid>
        <w:gridCol w:w="7920"/>
      </w:tblGrid>
      <w:tr>
        <w:tc>
          <w:tcPr>
            <w:tcBorders>
              <w:top w:val="nil"/>
              <w:bottom w:val="nil"/>
              <w:left w:val="nil"/>
              <w:right w:val="nil"/>
            </w:tcBorders>
          </w:tcPr>
          <w:bookmarkStart w:id="22" w:name="tbl-roletypes"/>
          <w:p>
            <w:pPr>
              <w:jc w:val="center"/>
            </w:pPr>
            <w:pPr>
              <w:jc w:val="left"/>
              <w:spacing w:before="200"/>
              <w:pStyle w:val="ImageCaption"/>
            </w:pPr>
            <w:r>
              <w:t xml:space="preserve">Table 2: Sample of in-scope JDs by role 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role_type</w:t>
                  </w:r>
                </w:p>
              </w:tc>
              <w:tc>
                <w:tcPr/>
                <w:p>
                  <w:pPr>
                    <w:pStyle w:val="Compact"/>
                    <w:jc w:val="right"/>
                    <w:jc w:val="center"/>
                  </w:pPr>
                  <w:r>
                    <w:t xml:space="preserve">n</w:t>
                  </w:r>
                </w:p>
              </w:tc>
              <w:tc>
                <w:tcPr/>
                <w:p>
                  <w:pPr>
                    <w:pStyle w:val="Compact"/>
                    <w:jc w:val="right"/>
                    <w:jc w:val="center"/>
                  </w:pPr>
                  <w:r>
                    <w:t xml:space="preserve">% of sample</w:t>
                  </w:r>
                </w:p>
              </w:tc>
            </w:tr>
            <w:tr>
              <w:tc>
                <w:tcPr/>
                <w:p>
                  <w:pPr>
                    <w:pStyle w:val="Compact"/>
                    <w:jc w:val="left"/>
                    <w:jc w:val="center"/>
                  </w:pPr>
                  <w:r>
                    <w:t xml:space="preserve">Production Supervisor</w:t>
                  </w:r>
                </w:p>
              </w:tc>
              <w:tc>
                <w:tcPr/>
                <w:p>
                  <w:pPr>
                    <w:pStyle w:val="Compact"/>
                    <w:jc w:val="right"/>
                    <w:jc w:val="center"/>
                  </w:pPr>
                  <w:r>
                    <w:t xml:space="preserve">19</w:t>
                  </w:r>
                </w:p>
              </w:tc>
              <w:tc>
                <w:tcPr/>
                <w:p>
                  <w:pPr>
                    <w:pStyle w:val="Compact"/>
                    <w:jc w:val="right"/>
                    <w:jc w:val="center"/>
                  </w:pPr>
                  <w:r>
                    <w:t xml:space="preserve">33.3</w:t>
                  </w:r>
                </w:p>
              </w:tc>
            </w:tr>
            <w:tr>
              <w:tc>
                <w:tcPr/>
                <w:p>
                  <w:pPr>
                    <w:pStyle w:val="Compact"/>
                    <w:jc w:val="left"/>
                    <w:jc w:val="center"/>
                  </w:pPr>
                  <w:r>
                    <w:t xml:space="preserve">Maintenance Supervisor</w:t>
                  </w:r>
                </w:p>
              </w:tc>
              <w:tc>
                <w:tcPr/>
                <w:p>
                  <w:pPr>
                    <w:pStyle w:val="Compact"/>
                    <w:jc w:val="right"/>
                    <w:jc w:val="center"/>
                  </w:pPr>
                  <w:r>
                    <w:t xml:space="preserve">12</w:t>
                  </w:r>
                </w:p>
              </w:tc>
              <w:tc>
                <w:tcPr/>
                <w:p>
                  <w:pPr>
                    <w:pStyle w:val="Compact"/>
                    <w:jc w:val="right"/>
                    <w:jc w:val="center"/>
                  </w:pPr>
                  <w:r>
                    <w:t xml:space="preserve">21.1</w:t>
                  </w:r>
                </w:p>
              </w:tc>
            </w:tr>
            <w:tr>
              <w:tc>
                <w:tcPr/>
                <w:p>
                  <w:pPr>
                    <w:pStyle w:val="Compact"/>
                    <w:jc w:val="left"/>
                    <w:jc w:val="center"/>
                  </w:pPr>
                  <w:r>
                    <w:t xml:space="preserve">Mining Supervisor</w:t>
                  </w:r>
                </w:p>
              </w:tc>
              <w:tc>
                <w:tcPr/>
                <w:p>
                  <w:pPr>
                    <w:pStyle w:val="Compact"/>
                    <w:jc w:val="right"/>
                    <w:jc w:val="center"/>
                  </w:pPr>
                  <w:r>
                    <w:t xml:space="preserve">8</w:t>
                  </w:r>
                </w:p>
              </w:tc>
              <w:tc>
                <w:tcPr/>
                <w:p>
                  <w:pPr>
                    <w:pStyle w:val="Compact"/>
                    <w:jc w:val="right"/>
                    <w:jc w:val="center"/>
                  </w:pPr>
                  <w:r>
                    <w:t xml:space="preserve">14</w:t>
                  </w:r>
                </w:p>
              </w:tc>
            </w:tr>
            <w:tr>
              <w:tc>
                <w:tcPr/>
                <w:p>
                  <w:pPr>
                    <w:pStyle w:val="Compact"/>
                    <w:jc w:val="left"/>
                    <w:jc w:val="center"/>
                  </w:pPr>
                  <w:r>
                    <w:t xml:space="preserve">Quarry Supervisor</w:t>
                  </w:r>
                </w:p>
              </w:tc>
              <w:tc>
                <w:tcPr/>
                <w:p>
                  <w:pPr>
                    <w:pStyle w:val="Compact"/>
                    <w:jc w:val="right"/>
                    <w:jc w:val="center"/>
                  </w:pPr>
                  <w:r>
                    <w:t xml:space="preserve">7</w:t>
                  </w:r>
                </w:p>
              </w:tc>
              <w:tc>
                <w:tcPr/>
                <w:p>
                  <w:pPr>
                    <w:pStyle w:val="Compact"/>
                    <w:jc w:val="right"/>
                    <w:jc w:val="center"/>
                  </w:pPr>
                  <w:r>
                    <w:t xml:space="preserve">12.3</w:t>
                  </w:r>
                </w:p>
              </w:tc>
            </w:tr>
            <w:tr>
              <w:tc>
                <w:tcPr/>
                <w:p>
                  <w:pPr>
                    <w:pStyle w:val="Compact"/>
                    <w:jc w:val="left"/>
                    <w:jc w:val="center"/>
                  </w:pPr>
                  <w:r>
                    <w:t xml:space="preserve">Shutdown / Projects Supervisor</w:t>
                  </w:r>
                </w:p>
              </w:tc>
              <w:tc>
                <w:tcPr/>
                <w:p>
                  <w:pPr>
                    <w:pStyle w:val="Compact"/>
                    <w:jc w:val="right"/>
                    <w:jc w:val="center"/>
                  </w:pPr>
                  <w:r>
                    <w:t xml:space="preserve">3</w:t>
                  </w:r>
                </w:p>
              </w:tc>
              <w:tc>
                <w:tcPr/>
                <w:p>
                  <w:pPr>
                    <w:pStyle w:val="Compact"/>
                    <w:jc w:val="right"/>
                    <w:jc w:val="center"/>
                  </w:pPr>
                  <w:r>
                    <w:t xml:space="preserve">5.3</w:t>
                  </w:r>
                </w:p>
              </w:tc>
            </w:tr>
            <w:tr>
              <w:tc>
                <w:tcPr/>
                <w:p>
                  <w:pPr>
                    <w:pStyle w:val="Compact"/>
                    <w:jc w:val="left"/>
                    <w:jc w:val="center"/>
                  </w:pPr>
                  <w:r>
                    <w:t xml:space="preserve">Underground Shift Supervisor</w:t>
                  </w:r>
                </w:p>
              </w:tc>
              <w:tc>
                <w:tcPr/>
                <w:p>
                  <w:pPr>
                    <w:pStyle w:val="Compact"/>
                    <w:jc w:val="right"/>
                    <w:jc w:val="center"/>
                  </w:pPr>
                  <w:r>
                    <w:t xml:space="preserve">3</w:t>
                  </w:r>
                </w:p>
              </w:tc>
              <w:tc>
                <w:tcPr/>
                <w:p>
                  <w:pPr>
                    <w:pStyle w:val="Compact"/>
                    <w:jc w:val="right"/>
                    <w:jc w:val="center"/>
                  </w:pPr>
                  <w:r>
                    <w:t xml:space="preserve">5.3</w:t>
                  </w:r>
                </w:p>
              </w:tc>
            </w:tr>
            <w:tr>
              <w:tc>
                <w:tcPr/>
                <w:p>
                  <w:pPr>
                    <w:pStyle w:val="Compact"/>
                    <w:jc w:val="left"/>
                    <w:jc w:val="center"/>
                  </w:pPr>
                  <w:r>
                    <w:t xml:space="preserve">Site Services Supervisor</w:t>
                  </w:r>
                </w:p>
              </w:tc>
              <w:tc>
                <w:tcPr/>
                <w:p>
                  <w:pPr>
                    <w:pStyle w:val="Compact"/>
                    <w:jc w:val="right"/>
                    <w:jc w:val="center"/>
                  </w:pPr>
                  <w:r>
                    <w:t xml:space="preserve">2</w:t>
                  </w:r>
                </w:p>
              </w:tc>
              <w:tc>
                <w:tcPr/>
                <w:p>
                  <w:pPr>
                    <w:pStyle w:val="Compact"/>
                    <w:jc w:val="right"/>
                    <w:jc w:val="center"/>
                  </w:pPr>
                  <w:r>
                    <w:t xml:space="preserve">3.5</w:t>
                  </w:r>
                </w:p>
              </w:tc>
            </w:tr>
            <w:tr>
              <w:tc>
                <w:tcPr/>
                <w:p>
                  <w:pPr>
                    <w:pStyle w:val="Compact"/>
                    <w:jc w:val="left"/>
                    <w:jc w:val="center"/>
                  </w:pPr>
                  <w:r>
                    <w:t xml:space="preserve">Leading Hand</w:t>
                  </w:r>
                </w:p>
              </w:tc>
              <w:tc>
                <w:tcPr/>
                <w:p>
                  <w:pPr>
                    <w:pStyle w:val="Compact"/>
                    <w:jc w:val="right"/>
                    <w:jc w:val="center"/>
                  </w:pPr>
                  <w:r>
                    <w:t xml:space="preserve">1</w:t>
                  </w:r>
                </w:p>
              </w:tc>
              <w:tc>
                <w:tcPr/>
                <w:p>
                  <w:pPr>
                    <w:pStyle w:val="Compact"/>
                    <w:jc w:val="right"/>
                    <w:jc w:val="center"/>
                  </w:pPr>
                  <w:r>
                    <w:t xml:space="preserve">1.8</w:t>
                  </w:r>
                </w:p>
              </w:tc>
            </w:tr>
            <w:tr>
              <w:tc>
                <w:tcPr/>
                <w:p>
                  <w:pPr>
                    <w:pStyle w:val="Compact"/>
                    <w:jc w:val="left"/>
                    <w:jc w:val="center"/>
                  </w:pPr>
                  <w:r>
                    <w:t xml:space="preserve">Production Supervisor - Mining</w:t>
                  </w:r>
                </w:p>
              </w:tc>
              <w:tc>
                <w:tcPr/>
                <w:p>
                  <w:pPr>
                    <w:pStyle w:val="Compact"/>
                    <w:jc w:val="right"/>
                    <w:jc w:val="center"/>
                  </w:pPr>
                  <w:r>
                    <w:t xml:space="preserve">1</w:t>
                  </w:r>
                </w:p>
              </w:tc>
              <w:tc>
                <w:tcPr/>
                <w:p>
                  <w:pPr>
                    <w:pStyle w:val="Compact"/>
                    <w:jc w:val="right"/>
                    <w:jc w:val="center"/>
                  </w:pPr>
                  <w:r>
                    <w:t xml:space="preserve">1.8</w:t>
                  </w:r>
                </w:p>
              </w:tc>
            </w:tr>
            <w:tr>
              <w:tc>
                <w:tcPr/>
                <w:p>
                  <w:pPr>
                    <w:pStyle w:val="Compact"/>
                    <w:jc w:val="left"/>
                    <w:jc w:val="center"/>
                  </w:pPr>
                  <w:r>
                    <w:t xml:space="preserve">Shift Supervisor</w:t>
                  </w:r>
                </w:p>
              </w:tc>
              <w:tc>
                <w:tcPr/>
                <w:p>
                  <w:pPr>
                    <w:pStyle w:val="Compact"/>
                    <w:jc w:val="right"/>
                    <w:jc w:val="center"/>
                  </w:pPr>
                  <w:r>
                    <w:t xml:space="preserve">1</w:t>
                  </w:r>
                </w:p>
              </w:tc>
              <w:tc>
                <w:tcPr/>
                <w:p>
                  <w:pPr>
                    <w:pStyle w:val="Compact"/>
                    <w:jc w:val="right"/>
                    <w:jc w:val="center"/>
                  </w:pPr>
                  <w:r>
                    <w:t xml:space="preserve">1.8</w:t>
                  </w:r>
                </w:p>
              </w:tc>
            </w:tr>
          </w:tbl>
          <w:bookmarkEnd w:id="22"/>
          <w:p/>
        </w:tc>
      </w:tr>
    </w:tbl>
    <w:bookmarkEnd w:id="23"/>
    <w:bookmarkStart w:id="24" w:name="scope-criteria"/>
    <w:p>
      <w:pPr>
        <w:pStyle w:val="Heading2"/>
      </w:pPr>
      <w:r>
        <w:t xml:space="preserve">2.3 Scope criteria</w:t>
      </w:r>
    </w:p>
    <w:p>
      <w:pPr>
        <w:pStyle w:val="FirstParagraph"/>
      </w:pPr>
      <w:r>
        <w:t xml:space="preserve">JDs were included if all four criteria were met:</w:t>
      </w:r>
    </w:p>
    <w:p>
      <w:pPr>
        <w:pStyle w:val="Compact"/>
        <w:numPr>
          <w:ilvl w:val="0"/>
          <w:numId w:val="1002"/>
        </w:numPr>
      </w:pPr>
      <w:r>
        <w:rPr>
          <w:b/>
          <w:bCs/>
        </w:rPr>
        <w:t xml:space="preserve">Supervisor-level</w:t>
      </w:r>
      <w:r>
        <w:t xml:space="preserve">: frontline supervisor role (not operator, leading hand, superintendent or manager). One exception was retained at Libby’s direction:</w:t>
      </w:r>
      <w:r>
        <w:t xml:space="preserve"> </w:t>
      </w:r>
      <w:r>
        <w:rPr>
          <w:rStyle w:val="VerbatimChar"/>
        </w:rPr>
        <w:t xml:space="preserve">MacKellar Leading hand.docx</w:t>
      </w:r>
      <w:r>
        <w:t xml:space="preserve">, where the title is</w:t>
      </w:r>
      <w:r>
        <w:t xml:space="preserve"> </w:t>
      </w:r>
      <w:r>
        <w:t xml:space="preserve">“Leading Hand”</w:t>
      </w:r>
      <w:r>
        <w:t xml:space="preserve"> </w:t>
      </w:r>
      <w:r>
        <w:t xml:space="preserve">but the body describes a supervisory role.</w:t>
      </w:r>
    </w:p>
    <w:p>
      <w:pPr>
        <w:pStyle w:val="Compact"/>
        <w:numPr>
          <w:ilvl w:val="0"/>
          <w:numId w:val="1002"/>
        </w:numPr>
      </w:pPr>
      <w:r>
        <w:rPr>
          <w:b/>
          <w:bCs/>
        </w:rPr>
        <w:t xml:space="preserve">Queensland-based</w:t>
      </w:r>
      <w:r>
        <w:t xml:space="preserve">: interstate roles excluded.</w:t>
      </w:r>
    </w:p>
    <w:p>
      <w:pPr>
        <w:pStyle w:val="Compact"/>
        <w:numPr>
          <w:ilvl w:val="0"/>
          <w:numId w:val="1002"/>
        </w:numPr>
      </w:pPr>
      <w:r>
        <w:rPr>
          <w:b/>
          <w:bCs/>
        </w:rPr>
        <w:t xml:space="preserve">Mining, quarrying or related contractor work</w:t>
      </w:r>
      <w:r>
        <w:t xml:space="preserve">: manufacturing or unrelated industries excluded.</w:t>
      </w:r>
    </w:p>
    <w:p>
      <w:pPr>
        <w:pStyle w:val="Compact"/>
        <w:numPr>
          <w:ilvl w:val="0"/>
          <w:numId w:val="1002"/>
        </w:numPr>
      </w:pPr>
      <w:r>
        <w:rPr>
          <w:b/>
          <w:bCs/>
        </w:rPr>
        <w:t xml:space="preserve">A genuine job ad</w:t>
      </w:r>
      <w:r>
        <w:t xml:space="preserve">: generic recruiter listings and reference or example documents excluded.</w:t>
      </w:r>
    </w:p>
    <w:p>
      <w:pPr>
        <w:pStyle w:val="FirstParagraph"/>
      </w:pPr>
      <w:r>
        <w:t xml:space="preserve">A separate collation spreadsheet (</w:t>
      </w:r>
      <w:r>
        <w:rPr>
          <w:rStyle w:val="VerbatimChar"/>
        </w:rPr>
        <w:t xml:space="preserve">all-jds-archive/JD Collation.xlsx</w:t>
      </w:r>
      <w:r>
        <w:t xml:space="preserve">) documents the full corpus of 97 source files, including 23 duplicate scrapes, 16 out-of-scope JDs, 2 broken files, and the 57 in-scope canonical JDs that contribute to this analysis.</w:t>
      </w:r>
    </w:p>
    <w:bookmarkEnd w:id="24"/>
    <w:bookmarkEnd w:id="25"/>
    <w:bookmarkStart w:id="30" w:name="methodology"/>
    <w:p>
      <w:pPr>
        <w:pStyle w:val="Heading1"/>
      </w:pPr>
      <w:r>
        <w:t xml:space="preserve">3. Methodology</w:t>
      </w:r>
    </w:p>
    <w:bookmarkStart w:id="26" w:name="coding-scheme"/>
    <w:p>
      <w:pPr>
        <w:pStyle w:val="Heading2"/>
      </w:pPr>
      <w:r>
        <w:t xml:space="preserve">3.1 Coding scheme</w:t>
      </w:r>
    </w:p>
    <w:p>
      <w:pPr>
        <w:pStyle w:val="FirstParagraph"/>
      </w:pPr>
      <w:r>
        <w:t xml:space="preserve">JDs were coded against</w:t>
      </w:r>
      <w:r>
        <w:t xml:space="preserve"> </w:t>
      </w:r>
      <w:r>
        <w:rPr>
          <w:b/>
          <w:bCs/>
        </w:rPr>
        <w:t xml:space="preserve">codebook v1.0</w:t>
      </w:r>
      <w:r>
        <w:t xml:space="preserve"> </w:t>
      </w:r>
      <w:r>
        <w:t xml:space="preserve">(see Appendix A), comprising 87 codes organised into six categories: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Codes</w:t>
            </w:r>
          </w:p>
        </w:tc>
        <w:tc>
          <w:tcPr/>
          <w:p>
            <w:pPr>
              <w:pStyle w:val="Compact"/>
            </w:pPr>
            <w:r>
              <w:t xml:space="preserve">Definition</w:t>
            </w:r>
          </w:p>
        </w:tc>
      </w:tr>
      <w:tr>
        <w:tc>
          <w:tcPr/>
          <w:p>
            <w:pPr>
              <w:pStyle w:val="Compact"/>
            </w:pPr>
            <w:r>
              <w:t xml:space="preserve">DUTY</w:t>
            </w:r>
          </w:p>
        </w:tc>
        <w:tc>
          <w:tcPr/>
          <w:p>
            <w:pPr>
              <w:pStyle w:val="Compact"/>
            </w:pPr>
            <w:r>
              <w:t xml:space="preserve">18</w:t>
            </w:r>
          </w:p>
        </w:tc>
        <w:tc>
          <w:tcPr/>
          <w:p>
            <w:pPr>
              <w:pStyle w:val="Compact"/>
            </w:pPr>
            <w:r>
              <w:t xml:space="preserve">A discrete task the supervisor performs</w:t>
            </w:r>
          </w:p>
        </w:tc>
      </w:tr>
      <w:tr>
        <w:tc>
          <w:tcPr/>
          <w:p>
            <w:pPr>
              <w:pStyle w:val="Compact"/>
            </w:pPr>
            <w:r>
              <w:t xml:space="preserve">DISPOSITION</w:t>
            </w:r>
          </w:p>
        </w:tc>
        <w:tc>
          <w:tcPr/>
          <w:p>
            <w:pPr>
              <w:pStyle w:val="Compact"/>
            </w:pPr>
            <w:r>
              <w:t xml:space="preserve">16</w:t>
            </w:r>
          </w:p>
        </w:tc>
        <w:tc>
          <w:tcPr/>
          <w:p>
            <w:pPr>
              <w:pStyle w:val="Compact"/>
            </w:pPr>
            <w:r>
              <w:t xml:space="preserve">A personal attribute or behavioural trait</w:t>
            </w:r>
          </w:p>
        </w:tc>
      </w:tr>
      <w:tr>
        <w:tc>
          <w:tcPr/>
          <w:p>
            <w:pPr>
              <w:pStyle w:val="Compact"/>
            </w:pPr>
            <w:r>
              <w:t xml:space="preserve">QUALIFICATIONS</w:t>
            </w:r>
          </w:p>
        </w:tc>
        <w:tc>
          <w:tcPr/>
          <w:p>
            <w:pPr>
              <w:pStyle w:val="Compact"/>
            </w:pPr>
            <w:r>
              <w:t xml:space="preserve">20</w:t>
            </w:r>
          </w:p>
        </w:tc>
        <w:tc>
          <w:tcPr/>
          <w:p>
            <w:pPr>
              <w:pStyle w:val="Compact"/>
            </w:pPr>
            <w:r>
              <w:t xml:space="preserve">A formal credential, ticket, license or trade</w:t>
            </w:r>
          </w:p>
        </w:tc>
      </w:tr>
      <w:tr>
        <w:tc>
          <w:tcPr/>
          <w:p>
            <w:pPr>
              <w:pStyle w:val="Compact"/>
            </w:pPr>
            <w:r>
              <w:t xml:space="preserve">KNOWLEDGE</w:t>
            </w:r>
          </w:p>
        </w:tc>
        <w:tc>
          <w:tcPr/>
          <w:p>
            <w:pPr>
              <w:pStyle w:val="Compact"/>
            </w:pPr>
            <w:r>
              <w:t xml:space="preserve">10</w:t>
            </w:r>
          </w:p>
        </w:tc>
        <w:tc>
          <w:tcPr/>
          <w:p>
            <w:pPr>
              <w:pStyle w:val="Compact"/>
            </w:pPr>
            <w:r>
              <w:t xml:space="preserve">A specific body of domain knowledge</w:t>
            </w:r>
          </w:p>
        </w:tc>
      </w:tr>
      <w:tr>
        <w:tc>
          <w:tcPr/>
          <w:p>
            <w:pPr>
              <w:pStyle w:val="Compact"/>
            </w:pPr>
            <w:r>
              <w:t xml:space="preserve">EXPERIENCE</w:t>
            </w:r>
          </w:p>
        </w:tc>
        <w:tc>
          <w:tcPr/>
          <w:p>
            <w:pPr>
              <w:pStyle w:val="Compact"/>
            </w:pPr>
            <w:r>
              <w:t xml:space="preserve">14</w:t>
            </w:r>
          </w:p>
        </w:tc>
        <w:tc>
          <w:tcPr/>
          <w:p>
            <w:pPr>
              <w:pStyle w:val="Compact"/>
            </w:pPr>
            <w:r>
              <w:t xml:space="preserve">A statement of required prior work background</w:t>
            </w:r>
          </w:p>
        </w:tc>
      </w:tr>
      <w:tr>
        <w:tc>
          <w:tcPr/>
          <w:p>
            <w:pPr>
              <w:pStyle w:val="Compact"/>
            </w:pPr>
            <w:r>
              <w:t xml:space="preserve">STATUTORY POSITION</w:t>
            </w:r>
          </w:p>
        </w:tc>
        <w:tc>
          <w:tcPr/>
          <w:p>
            <w:pPr>
              <w:pStyle w:val="Compact"/>
            </w:pPr>
            <w:r>
              <w:t xml:space="preserve">9</w:t>
            </w:r>
          </w:p>
        </w:tc>
        <w:tc>
          <w:tcPr/>
          <w:p>
            <w:pPr>
              <w:pStyle w:val="Compact"/>
            </w:pPr>
            <w:r>
              <w:t xml:space="preserve">A named statutory role the JD appoints to</w:t>
            </w:r>
          </w:p>
        </w:tc>
      </w:tr>
    </w:tbl>
    <w:p>
      <w:pPr>
        <w:pStyle w:val="BodyText"/>
      </w:pPr>
      <w:r>
        <w:t xml:space="preserve">The boundaries between categories are clarified through test questions:</w:t>
      </w:r>
      <w:r>
        <w:t xml:space="preserve"> </w:t>
      </w:r>
      <w:r>
        <w:rPr>
          <w:i/>
          <w:iCs/>
        </w:rPr>
        <w:t xml:space="preserve">what does the supervisor DO</w:t>
      </w:r>
      <w:r>
        <w:t xml:space="preserve"> </w:t>
      </w:r>
      <w:r>
        <w:t xml:space="preserve">(duty);</w:t>
      </w:r>
      <w:r>
        <w:t xml:space="preserve"> </w:t>
      </w:r>
      <w:r>
        <w:rPr>
          <w:i/>
          <w:iCs/>
        </w:rPr>
        <w:t xml:space="preserve">what kind of person are they</w:t>
      </w:r>
      <w:r>
        <w:t xml:space="preserve"> </w:t>
      </w:r>
      <w:r>
        <w:t xml:space="preserve">(disposition);</w:t>
      </w:r>
      <w:r>
        <w:t xml:space="preserve"> </w:t>
      </w:r>
      <w:r>
        <w:rPr>
          <w:i/>
          <w:iCs/>
        </w:rPr>
        <w:t xml:space="preserve">what do they HOLD</w:t>
      </w:r>
      <w:r>
        <w:t xml:space="preserve"> </w:t>
      </w:r>
      <w:r>
        <w:t xml:space="preserve">(qualification);</w:t>
      </w:r>
      <w:r>
        <w:t xml:space="preserve"> </w:t>
      </w:r>
      <w:r>
        <w:rPr>
          <w:i/>
          <w:iCs/>
        </w:rPr>
        <w:t xml:space="preserve">what do they KNOW</w:t>
      </w:r>
      <w:r>
        <w:t xml:space="preserve"> </w:t>
      </w:r>
      <w:r>
        <w:t xml:space="preserve">(knowledge);</w:t>
      </w:r>
      <w:r>
        <w:t xml:space="preserve"> </w:t>
      </w:r>
      <w:r>
        <w:rPr>
          <w:i/>
          <w:iCs/>
        </w:rPr>
        <w:t xml:space="preserve">what have they DONE</w:t>
      </w:r>
      <w:r>
        <w:t xml:space="preserve"> </w:t>
      </w:r>
      <w:r>
        <w:t xml:space="preserve">(experience);</w:t>
      </w:r>
      <w:r>
        <w:t xml:space="preserve"> </w:t>
      </w:r>
      <w:r>
        <w:rPr>
          <w:i/>
          <w:iCs/>
        </w:rPr>
        <w:t xml:space="preserve">what legal ROLE are they being appointed to</w:t>
      </w:r>
      <w:r>
        <w:t xml:space="preserve"> </w:t>
      </w:r>
      <w:r>
        <w:t xml:space="preserve">(statutory position). A single sentence can produce multiple coded rows where it spans more than one category.</w:t>
      </w:r>
    </w:p>
    <w:bookmarkEnd w:id="26"/>
    <w:bookmarkStart w:id="27" w:name="the-required-flag"/>
    <w:p>
      <w:pPr>
        <w:pStyle w:val="Heading2"/>
      </w:pPr>
      <w:r>
        <w:t xml:space="preserve">3.2 The</w:t>
      </w:r>
      <w:r>
        <w:t xml:space="preserve"> </w:t>
      </w:r>
      <w:r>
        <w:rPr>
          <w:rStyle w:val="VerbatimChar"/>
        </w:rPr>
        <w:t xml:space="preserve">required</w:t>
      </w:r>
      <w:r>
        <w:t xml:space="preserve"> </w:t>
      </w:r>
      <w:r>
        <w:t xml:space="preserve">flag</w:t>
      </w:r>
    </w:p>
    <w:p>
      <w:pPr>
        <w:pStyle w:val="FirstParagraph"/>
      </w:pPr>
      <w:r>
        <w:t xml:space="preserve">Each coded instance carries a flag indicating how the JD treats it:</w:t>
      </w:r>
    </w:p>
    <w:p>
      <w:pPr>
        <w:pStyle w:val="Compact"/>
        <w:numPr>
          <w:ilvl w:val="0"/>
          <w:numId w:val="1003"/>
        </w:numPr>
      </w:pPr>
      <w:r>
        <w:rPr>
          <w:rStyle w:val="VerbatimChar"/>
        </w:rPr>
        <w:t xml:space="preserve">required</w:t>
      </w:r>
      <w:r>
        <w:t xml:space="preserve">: explicit</w:t>
      </w:r>
      <w:r>
        <w:t xml:space="preserve"> </w:t>
      </w:r>
      <w:r>
        <w:t xml:space="preserve">“must have”</w:t>
      </w:r>
      <w:r>
        <w:t xml:space="preserve">,</w:t>
      </w:r>
      <w:r>
        <w:t xml:space="preserve"> </w:t>
      </w:r>
      <w:r>
        <w:t xml:space="preserve">“essential”</w:t>
      </w:r>
      <w:r>
        <w:t xml:space="preserve"> </w:t>
      </w:r>
      <w:r>
        <w:t xml:space="preserve">or</w:t>
      </w:r>
      <w:r>
        <w:t xml:space="preserve"> </w:t>
      </w:r>
      <w:r>
        <w:t xml:space="preserve">“required”</w:t>
      </w:r>
      <w:r>
        <w:t xml:space="preserve"> </w:t>
      </w:r>
      <w:r>
        <w:t xml:space="preserve">language.</w:t>
      </w:r>
    </w:p>
    <w:p>
      <w:pPr>
        <w:pStyle w:val="Compact"/>
        <w:numPr>
          <w:ilvl w:val="0"/>
          <w:numId w:val="1003"/>
        </w:numPr>
      </w:pPr>
      <w:r>
        <w:rPr>
          <w:rStyle w:val="VerbatimChar"/>
        </w:rPr>
        <w:t xml:space="preserve">desirable</w:t>
      </w:r>
      <w:r>
        <w:t xml:space="preserve">: explicit</w:t>
      </w:r>
      <w:r>
        <w:t xml:space="preserve"> </w:t>
      </w:r>
      <w:r>
        <w:t xml:space="preserve">“desirable”</w:t>
      </w:r>
      <w:r>
        <w:t xml:space="preserve">,</w:t>
      </w:r>
      <w:r>
        <w:t xml:space="preserve"> </w:t>
      </w:r>
      <w:r>
        <w:t xml:space="preserve">“preferred”</w:t>
      </w:r>
      <w:r>
        <w:t xml:space="preserve"> </w:t>
      </w:r>
      <w:r>
        <w:t xml:space="preserve">or</w:t>
      </w:r>
      <w:r>
        <w:t xml:space="preserve"> </w:t>
      </w:r>
      <w:r>
        <w:t xml:space="preserve">“advantageous”</w:t>
      </w:r>
      <w:r>
        <w:t xml:space="preserve"> </w:t>
      </w:r>
      <w:r>
        <w:t xml:space="preserve">language.</w:t>
      </w:r>
    </w:p>
    <w:p>
      <w:pPr>
        <w:pStyle w:val="Compact"/>
        <w:numPr>
          <w:ilvl w:val="0"/>
          <w:numId w:val="1003"/>
        </w:numPr>
      </w:pPr>
      <w:r>
        <w:rPr>
          <w:rStyle w:val="VerbatimChar"/>
        </w:rPr>
        <w:t xml:space="preserve">not_specified</w:t>
      </w:r>
      <w:r>
        <w:t xml:space="preserve">: mentioned without explicit required or desirable framing.</w:t>
      </w:r>
    </w:p>
    <w:bookmarkEnd w:id="27"/>
    <w:bookmarkStart w:id="28" w:name="coding-workflow"/>
    <w:p>
      <w:pPr>
        <w:pStyle w:val="Heading2"/>
      </w:pPr>
      <w:r>
        <w:t xml:space="preserve">3.3 Coding workflow</w:t>
      </w:r>
    </w:p>
    <w:p>
      <w:pPr>
        <w:pStyle w:val="FirstParagraph"/>
      </w:pPr>
      <w:r>
        <w:t xml:space="preserve">For each JD, both the curated metadata fields (from the project’s</w:t>
      </w:r>
      <w:r>
        <w:t xml:space="preserve"> </w:t>
      </w:r>
      <w:r>
        <w:rPr>
          <w:rStyle w:val="VerbatimChar"/>
        </w:rPr>
        <w:t xml:space="preserve">data.json</w:t>
      </w:r>
      <w:r>
        <w:t xml:space="preserve">) and the full source text were read. Each codable phrase was tagged with category, code, supporting quote, required flag, and confidence rating.</w:t>
      </w:r>
    </w:p>
    <w:p>
      <w:pPr>
        <w:pStyle w:val="BodyText"/>
      </w:pPr>
      <w:r>
        <w:t xml:space="preserve">Output format: long-format CSV with one row per</w:t>
      </w:r>
      <w:r>
        <w:t xml:space="preserve"> </w:t>
      </w:r>
      <w:r>
        <w:rPr>
          <w:rStyle w:val="VerbatimChar"/>
        </w:rPr>
        <w:t xml:space="preserve">(jd_filename, category, code, evidence_quote)</w:t>
      </w:r>
      <w:r>
        <w:t xml:space="preserve"> </w:t>
      </w:r>
      <w:r>
        <w:t xml:space="preserve">instance, plus contextual fields (sector, role type, required flag, confidence).</w:t>
      </w:r>
    </w:p>
    <w:bookmarkEnd w:id="28"/>
    <w:bookmarkStart w:id="29" w:name="limitations"/>
    <w:p>
      <w:pPr>
        <w:pStyle w:val="Heading2"/>
      </w:pPr>
      <w:r>
        <w:t xml:space="preserve">3.4 Limitations</w:t>
      </w:r>
    </w:p>
    <w:p>
      <w:pPr>
        <w:pStyle w:val="Compact"/>
        <w:numPr>
          <w:ilvl w:val="0"/>
          <w:numId w:val="1004"/>
        </w:numPr>
      </w:pPr>
      <w:r>
        <w:rPr>
          <w:b/>
          <w:bCs/>
        </w:rPr>
        <w:t xml:space="preserve">Single coder.</w:t>
      </w:r>
      <w:r>
        <w:t xml:space="preserve"> </w:t>
      </w:r>
      <w:r>
        <w:t xml:space="preserve">All 57 JDs were coded by a single analyst with LLM assistance, audited manually. Inter-coder reliability is not established.</w:t>
      </w:r>
    </w:p>
    <w:p>
      <w:pPr>
        <w:pStyle w:val="Compact"/>
        <w:numPr>
          <w:ilvl w:val="0"/>
          <w:numId w:val="1004"/>
        </w:numPr>
      </w:pPr>
      <w:r>
        <w:rPr>
          <w:b/>
          <w:bCs/>
        </w:rPr>
        <w:t xml:space="preserve">Conservative</w:t>
      </w:r>
      <w:r>
        <w:rPr>
          <w:b/>
          <w:bCs/>
        </w:rPr>
        <w:t xml:space="preserve"> </w:t>
      </w:r>
      <w:r>
        <w:rPr>
          <w:rStyle w:val="VerbatimChar"/>
          <w:b/>
          <w:bCs/>
        </w:rPr>
        <w:t xml:space="preserve">required</w:t>
      </w:r>
      <w:r>
        <w:rPr>
          <w:b/>
          <w:bCs/>
        </w:rPr>
        <w:t xml:space="preserve"> </w:t>
      </w:r>
      <w:r>
        <w:rPr>
          <w:b/>
          <w:bCs/>
        </w:rPr>
        <w:t xml:space="preserve">coding.</w:t>
      </w:r>
      <w:r>
        <w:t xml:space="preserve"> </w:t>
      </w:r>
      <w:r>
        <w:t xml:space="preserve">The flag was applied only where JDs used explicit</w:t>
      </w:r>
      <w:r>
        <w:t xml:space="preserve"> </w:t>
      </w:r>
      <w:r>
        <w:t xml:space="preserve">“must”</w:t>
      </w:r>
      <w:r>
        <w:t xml:space="preserve"> </w:t>
      </w:r>
      <w:r>
        <w:t xml:space="preserve">or</w:t>
      </w:r>
      <w:r>
        <w:t xml:space="preserve"> </w:t>
      </w:r>
      <w:r>
        <w:t xml:space="preserve">“essential”</w:t>
      </w:r>
      <w:r>
        <w:t xml:space="preserve"> </w:t>
      </w:r>
      <w:r>
        <w:t xml:space="preserve">language. Items listed under a</w:t>
      </w:r>
      <w:r>
        <w:t xml:space="preserve"> </w:t>
      </w:r>
      <w:r>
        <w:t xml:space="preserve">“Requirements”</w:t>
      </w:r>
      <w:r>
        <w:t xml:space="preserve"> </w:t>
      </w:r>
      <w:r>
        <w:t xml:space="preserve">heading without those markers were coded</w:t>
      </w:r>
      <w:r>
        <w:t xml:space="preserve"> </w:t>
      </w:r>
      <w:r>
        <w:rPr>
          <w:rStyle w:val="VerbatimChar"/>
        </w:rPr>
        <w:t xml:space="preserve">not_specified</w:t>
      </w:r>
      <w:r>
        <w:t xml:space="preserve">. Frequencies of</w:t>
      </w:r>
      <w:r>
        <w:t xml:space="preserve"> </w:t>
      </w:r>
      <w:r>
        <w:rPr>
          <w:rStyle w:val="VerbatimChar"/>
        </w:rPr>
        <w:t xml:space="preserve">required</w:t>
      </w:r>
      <w:r>
        <w:t xml:space="preserve"> </w:t>
      </w:r>
      <w:r>
        <w:t xml:space="preserve">items therefore represent a floor, not the true rate.</w:t>
      </w:r>
    </w:p>
    <w:p>
      <w:pPr>
        <w:pStyle w:val="Compact"/>
        <w:numPr>
          <w:ilvl w:val="0"/>
          <w:numId w:val="1004"/>
        </w:numPr>
      </w:pPr>
      <w:r>
        <w:rPr>
          <w:b/>
          <w:bCs/>
        </w:rPr>
        <w:t xml:space="preserve">Source text quality varies.</w:t>
      </w:r>
      <w:r>
        <w:t xml:space="preserve"> </w:t>
      </w:r>
      <w:r>
        <w:t xml:space="preserve">Some JDs preserved only their Qualifications section in extracted text; others provided a formal Position Description. The depth of coding per JD partially reflects source completeness.</w:t>
      </w:r>
    </w:p>
    <w:p>
      <w:pPr>
        <w:pStyle w:val="Compact"/>
        <w:numPr>
          <w:ilvl w:val="0"/>
          <w:numId w:val="1004"/>
        </w:numPr>
      </w:pPr>
      <w:r>
        <w:rPr>
          <w:b/>
          <w:bCs/>
        </w:rPr>
        <w:t xml:space="preserve">Coal Surface heavy.</w:t>
      </w:r>
      <w:r>
        <w:t xml:space="preserve"> </w:t>
      </w:r>
      <w:r>
        <w:t xml:space="preserve">29 of 57 JDs (51%) are Coal Surface roles. Cross-sector comparisons should be read with the underlying sample sizes in mind.</w:t>
      </w:r>
    </w:p>
    <w:bookmarkEnd w:id="29"/>
    <w:bookmarkEnd w:id="30"/>
    <w:bookmarkStart w:id="40" w:name="duties"/>
    <w:p>
      <w:pPr>
        <w:pStyle w:val="Heading1"/>
      </w:pPr>
      <w:r>
        <w:t xml:space="preserve">4. Duties</w:t>
      </w:r>
    </w:p>
    <w:tbl>
      <w:tblPr>
        <w:tblStyle w:val="Table"/>
        <w:tblW w:type="pct" w:w="5000"/>
        <w:tblLayout w:type="fixed"/>
        <w:tblLook w:firstRow="0" w:lastRow="0" w:firstColumn="0" w:lastColumn="0" w:noHBand="0" w:noVBand="0" w:val="0000"/>
        <w:tblBorders>
          <w:top w:val="nil"/>
          <w:bottom w:val="nil"/>
          <w:left w:val="nil"/>
          <w:right w:val="nil"/>
          <w:insideH w:val="nil"/>
          <w:insideV w:val="nil"/>
        </w:tblBorders>
      </w:tblPr>
      <w:tblGrid>
        <w:gridCol w:w="7920"/>
      </w:tblGrid>
      <w:tr>
        <w:tc>
          <w:tcPr>
            <w:tcBorders>
              <w:top w:val="nil"/>
              <w:bottom w:val="nil"/>
              <w:left w:val="nil"/>
              <w:right w:val="nil"/>
            </w:tcBorders>
          </w:tcPr>
          <w:bookmarkStart w:id="31" w:name="tbl-duty"/>
          <w:p>
            <w:pPr>
              <w:jc w:val="center"/>
            </w:pPr>
            <w:pPr>
              <w:jc w:val="left"/>
              <w:spacing w:before="200"/>
              <w:pStyle w:val="ImageCaption"/>
            </w:pPr>
            <w:r>
              <w:t xml:space="preserve">Table 3: Duties: frequency across all 57 JDs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code</w:t>
                  </w:r>
                </w:p>
              </w:tc>
              <w:tc>
                <w:tcPr/>
                <w:p>
                  <w:pPr>
                    <w:pStyle w:val="Compact"/>
                    <w:jc w:val="left"/>
                    <w:jc w:val="center"/>
                  </w:pPr>
                  <w:r>
                    <w:t xml:space="preserve">label</w:t>
                  </w:r>
                </w:p>
              </w:tc>
              <w:tc>
                <w:tcPr/>
                <w:p>
                  <w:pPr>
                    <w:pStyle w:val="Compact"/>
                    <w:jc w:val="right"/>
                    <w:jc w:val="center"/>
                  </w:pPr>
                  <w:r>
                    <w:t xml:space="preserve">n_jds</w:t>
                  </w:r>
                </w:p>
              </w:tc>
              <w:tc>
                <w:tcPr/>
                <w:p>
                  <w:pPr>
                    <w:pStyle w:val="Compact"/>
                    <w:jc w:val="right"/>
                    <w:jc w:val="center"/>
                  </w:pPr>
                  <w:r>
                    <w:t xml:space="preserve">pct_jds</w:t>
                  </w:r>
                </w:p>
              </w:tc>
            </w:tr>
            <w:tr>
              <w:tc>
                <w:tcPr/>
                <w:p>
                  <w:pPr>
                    <w:pStyle w:val="Compact"/>
                    <w:jc w:val="left"/>
                    <w:jc w:val="center"/>
                  </w:pPr>
                  <w:r>
                    <w:t xml:space="preserve">D1</w:t>
                  </w:r>
                </w:p>
              </w:tc>
              <w:tc>
                <w:tcPr/>
                <w:p>
                  <w:pPr>
                    <w:pStyle w:val="Compact"/>
                    <w:jc w:val="left"/>
                    <w:jc w:val="center"/>
                  </w:pPr>
                  <w:r>
                    <w:t xml:space="preserve">Supervise &amp; lead crews</w:t>
                  </w:r>
                </w:p>
              </w:tc>
              <w:tc>
                <w:tcPr/>
                <w:p>
                  <w:pPr>
                    <w:pStyle w:val="Compact"/>
                    <w:jc w:val="right"/>
                    <w:jc w:val="center"/>
                  </w:pPr>
                  <w:r>
                    <w:t xml:space="preserve">34</w:t>
                  </w:r>
                </w:p>
              </w:tc>
              <w:tc>
                <w:tcPr/>
                <w:p>
                  <w:pPr>
                    <w:pStyle w:val="Compact"/>
                    <w:jc w:val="right"/>
                    <w:jc w:val="center"/>
                  </w:pPr>
                  <w:r>
                    <w:t xml:space="preserve">59.6</w:t>
                  </w:r>
                </w:p>
              </w:tc>
            </w:tr>
            <w:tr>
              <w:tc>
                <w:tcPr/>
                <w:p>
                  <w:pPr>
                    <w:pStyle w:val="Compact"/>
                    <w:jc w:val="left"/>
                    <w:jc w:val="center"/>
                  </w:pPr>
                  <w:r>
                    <w:t xml:space="preserve">D6</w:t>
                  </w:r>
                </w:p>
              </w:tc>
              <w:tc>
                <w:tcPr/>
                <w:p>
                  <w:pPr>
                    <w:pStyle w:val="Compact"/>
                    <w:jc w:val="left"/>
                    <w:jc w:val="center"/>
                  </w:pPr>
                  <w:r>
                    <w:t xml:space="preserve">Promote safety culture</w:t>
                  </w:r>
                </w:p>
              </w:tc>
              <w:tc>
                <w:tcPr/>
                <w:p>
                  <w:pPr>
                    <w:pStyle w:val="Compact"/>
                    <w:jc w:val="right"/>
                    <w:jc w:val="center"/>
                  </w:pPr>
                  <w:r>
                    <w:t xml:space="preserve">30</w:t>
                  </w:r>
                </w:p>
              </w:tc>
              <w:tc>
                <w:tcPr/>
                <w:p>
                  <w:pPr>
                    <w:pStyle w:val="Compact"/>
                    <w:jc w:val="right"/>
                    <w:jc w:val="center"/>
                  </w:pPr>
                  <w:r>
                    <w:t xml:space="preserve">52.6</w:t>
                  </w:r>
                </w:p>
              </w:tc>
            </w:tr>
            <w:tr>
              <w:tc>
                <w:tcPr/>
                <w:p>
                  <w:pPr>
                    <w:pStyle w:val="Compact"/>
                    <w:jc w:val="left"/>
                    <w:jc w:val="center"/>
                  </w:pPr>
                  <w:r>
                    <w:t xml:space="preserve">D2</w:t>
                  </w:r>
                </w:p>
              </w:tc>
              <w:tc>
                <w:tcPr/>
                <w:p>
                  <w:pPr>
                    <w:pStyle w:val="Compact"/>
                    <w:jc w:val="left"/>
                    <w:jc w:val="center"/>
                  </w:pPr>
                  <w:r>
                    <w:t xml:space="preserve">Coach &amp; mentor</w:t>
                  </w:r>
                </w:p>
              </w:tc>
              <w:tc>
                <w:tcPr/>
                <w:p>
                  <w:pPr>
                    <w:pStyle w:val="Compact"/>
                    <w:jc w:val="right"/>
                    <w:jc w:val="center"/>
                  </w:pPr>
                  <w:r>
                    <w:t xml:space="preserve">28</w:t>
                  </w:r>
                </w:p>
              </w:tc>
              <w:tc>
                <w:tcPr/>
                <w:p>
                  <w:pPr>
                    <w:pStyle w:val="Compact"/>
                    <w:jc w:val="right"/>
                    <w:jc w:val="center"/>
                  </w:pPr>
                  <w:r>
                    <w:t xml:space="preserve">49.1</w:t>
                  </w:r>
                </w:p>
              </w:tc>
            </w:tr>
            <w:tr>
              <w:tc>
                <w:tcPr/>
                <w:p>
                  <w:pPr>
                    <w:pStyle w:val="Compact"/>
                    <w:jc w:val="left"/>
                    <w:jc w:val="center"/>
                  </w:pPr>
                  <w:r>
                    <w:t xml:space="preserve">D5</w:t>
                  </w:r>
                </w:p>
              </w:tc>
              <w:tc>
                <w:tcPr/>
                <w:p>
                  <w:pPr>
                    <w:pStyle w:val="Compact"/>
                    <w:jc w:val="left"/>
                    <w:jc w:val="center"/>
                  </w:pPr>
                  <w:r>
                    <w:t xml:space="preserve">Statutory compliance</w:t>
                  </w:r>
                </w:p>
              </w:tc>
              <w:tc>
                <w:tcPr/>
                <w:p>
                  <w:pPr>
                    <w:pStyle w:val="Compact"/>
                    <w:jc w:val="right"/>
                    <w:jc w:val="center"/>
                  </w:pPr>
                  <w:r>
                    <w:t xml:space="preserve">27</w:t>
                  </w:r>
                </w:p>
              </w:tc>
              <w:tc>
                <w:tcPr/>
                <w:p>
                  <w:pPr>
                    <w:pStyle w:val="Compact"/>
                    <w:jc w:val="right"/>
                    <w:jc w:val="center"/>
                  </w:pPr>
                  <w:r>
                    <w:t xml:space="preserve">47.4</w:t>
                  </w:r>
                </w:p>
              </w:tc>
            </w:tr>
            <w:tr>
              <w:tc>
                <w:tcPr/>
                <w:p>
                  <w:pPr>
                    <w:pStyle w:val="Compact"/>
                    <w:jc w:val="left"/>
                    <w:jc w:val="center"/>
                  </w:pPr>
                  <w:r>
                    <w:t xml:space="preserve">D12</w:t>
                  </w:r>
                </w:p>
              </w:tc>
              <w:tc>
                <w:tcPr/>
                <w:p>
                  <w:pPr>
                    <w:pStyle w:val="Compact"/>
                    <w:jc w:val="left"/>
                    <w:jc w:val="center"/>
                  </w:pPr>
                  <w:r>
                    <w:t xml:space="preserve">Reporting &amp; admin</w:t>
                  </w:r>
                </w:p>
              </w:tc>
              <w:tc>
                <w:tcPr/>
                <w:p>
                  <w:pPr>
                    <w:pStyle w:val="Compact"/>
                    <w:jc w:val="right"/>
                    <w:jc w:val="center"/>
                  </w:pPr>
                  <w:r>
                    <w:t xml:space="preserve">21</w:t>
                  </w:r>
                </w:p>
              </w:tc>
              <w:tc>
                <w:tcPr/>
                <w:p>
                  <w:pPr>
                    <w:pStyle w:val="Compact"/>
                    <w:jc w:val="right"/>
                    <w:jc w:val="center"/>
                  </w:pPr>
                  <w:r>
                    <w:t xml:space="preserve">36.8</w:t>
                  </w:r>
                </w:p>
              </w:tc>
            </w:tr>
            <w:tr>
              <w:tc>
                <w:tcPr/>
                <w:p>
                  <w:pPr>
                    <w:pStyle w:val="Compact"/>
                    <w:jc w:val="left"/>
                    <w:jc w:val="center"/>
                  </w:pPr>
                  <w:r>
                    <w:t xml:space="preserve">D7</w:t>
                  </w:r>
                </w:p>
              </w:tc>
              <w:tc>
                <w:tcPr/>
                <w:p>
                  <w:pPr>
                    <w:pStyle w:val="Compact"/>
                    <w:jc w:val="left"/>
                    <w:jc w:val="center"/>
                  </w:pPr>
                  <w:r>
                    <w:t xml:space="preserve">Oversee daily operations</w:t>
                  </w:r>
                </w:p>
              </w:tc>
              <w:tc>
                <w:tcPr/>
                <w:p>
                  <w:pPr>
                    <w:pStyle w:val="Compact"/>
                    <w:jc w:val="right"/>
                    <w:jc w:val="center"/>
                  </w:pPr>
                  <w:r>
                    <w:t xml:space="preserve">21</w:t>
                  </w:r>
                </w:p>
              </w:tc>
              <w:tc>
                <w:tcPr/>
                <w:p>
                  <w:pPr>
                    <w:pStyle w:val="Compact"/>
                    <w:jc w:val="right"/>
                    <w:jc w:val="center"/>
                  </w:pPr>
                  <w:r>
                    <w:t xml:space="preserve">36.8</w:t>
                  </w:r>
                </w:p>
              </w:tc>
            </w:tr>
            <w:tr>
              <w:tc>
                <w:tcPr/>
                <w:p>
                  <w:pPr>
                    <w:pStyle w:val="Compact"/>
                    <w:jc w:val="left"/>
                    <w:jc w:val="center"/>
                  </w:pPr>
                  <w:r>
                    <w:t xml:space="preserve">D10</w:t>
                  </w:r>
                </w:p>
              </w:tc>
              <w:tc>
                <w:tcPr/>
                <w:p>
                  <w:pPr>
                    <w:pStyle w:val="Compact"/>
                    <w:jc w:val="left"/>
                    <w:jc w:val="center"/>
                  </w:pPr>
                  <w:r>
                    <w:t xml:space="preserve">Continuous improvement</w:t>
                  </w:r>
                </w:p>
              </w:tc>
              <w:tc>
                <w:tcPr/>
                <w:p>
                  <w:pPr>
                    <w:pStyle w:val="Compact"/>
                    <w:jc w:val="right"/>
                    <w:jc w:val="center"/>
                  </w:pPr>
                  <w:r>
                    <w:t xml:space="preserve">21</w:t>
                  </w:r>
                </w:p>
              </w:tc>
              <w:tc>
                <w:tcPr/>
                <w:p>
                  <w:pPr>
                    <w:pStyle w:val="Compact"/>
                    <w:jc w:val="right"/>
                    <w:jc w:val="center"/>
                  </w:pPr>
                  <w:r>
                    <w:t xml:space="preserve">36.8</w:t>
                  </w:r>
                </w:p>
              </w:tc>
            </w:tr>
            <w:tr>
              <w:tc>
                <w:tcPr/>
                <w:p>
                  <w:pPr>
                    <w:pStyle w:val="Compact"/>
                    <w:jc w:val="left"/>
                    <w:jc w:val="center"/>
                  </w:pPr>
                  <w:r>
                    <w:t xml:space="preserve">D8</w:t>
                  </w:r>
                </w:p>
              </w:tc>
              <w:tc>
                <w:tcPr/>
                <w:p>
                  <w:pPr>
                    <w:pStyle w:val="Compact"/>
                    <w:jc w:val="left"/>
                    <w:jc w:val="center"/>
                  </w:pPr>
                  <w:r>
                    <w:t xml:space="preserve">Manage production/targets</w:t>
                  </w:r>
                </w:p>
              </w:tc>
              <w:tc>
                <w:tcPr/>
                <w:p>
                  <w:pPr>
                    <w:pStyle w:val="Compact"/>
                    <w:jc w:val="right"/>
                    <w:jc w:val="center"/>
                  </w:pPr>
                  <w:r>
                    <w:t xml:space="preserve">20</w:t>
                  </w:r>
                </w:p>
              </w:tc>
              <w:tc>
                <w:tcPr/>
                <w:p>
                  <w:pPr>
                    <w:pStyle w:val="Compact"/>
                    <w:jc w:val="right"/>
                    <w:jc w:val="center"/>
                  </w:pPr>
                  <w:r>
                    <w:t xml:space="preserve">35.1</w:t>
                  </w:r>
                </w:p>
              </w:tc>
            </w:tr>
            <w:tr>
              <w:tc>
                <w:tcPr/>
                <w:p>
                  <w:pPr>
                    <w:pStyle w:val="Compact"/>
                    <w:jc w:val="left"/>
                    <w:jc w:val="center"/>
                  </w:pPr>
                  <w:r>
                    <w:t xml:space="preserve">D16</w:t>
                  </w:r>
                </w:p>
              </w:tc>
              <w:tc>
                <w:tcPr/>
                <w:p>
                  <w:pPr>
                    <w:pStyle w:val="Compact"/>
                    <w:jc w:val="left"/>
                    <w:jc w:val="center"/>
                  </w:pPr>
                  <w:r>
                    <w:t xml:space="preserve">Cross-functional collaboration</w:t>
                  </w:r>
                </w:p>
              </w:tc>
              <w:tc>
                <w:tcPr/>
                <w:p>
                  <w:pPr>
                    <w:pStyle w:val="Compact"/>
                    <w:jc w:val="right"/>
                    <w:jc w:val="center"/>
                  </w:pPr>
                  <w:r>
                    <w:t xml:space="preserve">19</w:t>
                  </w:r>
                </w:p>
              </w:tc>
              <w:tc>
                <w:tcPr/>
                <w:p>
                  <w:pPr>
                    <w:pStyle w:val="Compact"/>
                    <w:jc w:val="right"/>
                    <w:jc w:val="center"/>
                  </w:pPr>
                  <w:r>
                    <w:t xml:space="preserve">33.3</w:t>
                  </w:r>
                </w:p>
              </w:tc>
            </w:tr>
            <w:tr>
              <w:tc>
                <w:tcPr/>
                <w:p>
                  <w:pPr>
                    <w:pStyle w:val="Compact"/>
                    <w:jc w:val="left"/>
                    <w:jc w:val="center"/>
                  </w:pPr>
                  <w:r>
                    <w:t xml:space="preserve">D15</w:t>
                  </w:r>
                </w:p>
              </w:tc>
              <w:tc>
                <w:tcPr/>
                <w:p>
                  <w:pPr>
                    <w:pStyle w:val="Compact"/>
                    <w:jc w:val="left"/>
                    <w:jc w:val="center"/>
                  </w:pPr>
                  <w:r>
                    <w:t xml:space="preserve">Environmental &amp; quality</w:t>
                  </w:r>
                </w:p>
              </w:tc>
              <w:tc>
                <w:tcPr/>
                <w:p>
                  <w:pPr>
                    <w:pStyle w:val="Compact"/>
                    <w:jc w:val="right"/>
                    <w:jc w:val="center"/>
                  </w:pPr>
                  <w:r>
                    <w:t xml:space="preserve">15</w:t>
                  </w:r>
                </w:p>
              </w:tc>
              <w:tc>
                <w:tcPr/>
                <w:p>
                  <w:pPr>
                    <w:pStyle w:val="Compact"/>
                    <w:jc w:val="right"/>
                    <w:jc w:val="center"/>
                  </w:pPr>
                  <w:r>
                    <w:t xml:space="preserve">26.3</w:t>
                  </w:r>
                </w:p>
              </w:tc>
            </w:tr>
            <w:tr>
              <w:tc>
                <w:tcPr/>
                <w:p>
                  <w:pPr>
                    <w:pStyle w:val="Compact"/>
                    <w:jc w:val="left"/>
                    <w:jc w:val="center"/>
                  </w:pPr>
                  <w:r>
                    <w:t xml:space="preserve">D11</w:t>
                  </w:r>
                </w:p>
              </w:tc>
              <w:tc>
                <w:tcPr/>
                <w:p>
                  <w:pPr>
                    <w:pStyle w:val="Compact"/>
                    <w:jc w:val="left"/>
                    <w:jc w:val="center"/>
                  </w:pPr>
                  <w:r>
                    <w:t xml:space="preserve">Plan &amp; schedule work</w:t>
                  </w:r>
                </w:p>
              </w:tc>
              <w:tc>
                <w:tcPr/>
                <w:p>
                  <w:pPr>
                    <w:pStyle w:val="Compact"/>
                    <w:jc w:val="right"/>
                    <w:jc w:val="center"/>
                  </w:pPr>
                  <w:r>
                    <w:t xml:space="preserve">15</w:t>
                  </w:r>
                </w:p>
              </w:tc>
              <w:tc>
                <w:tcPr/>
                <w:p>
                  <w:pPr>
                    <w:pStyle w:val="Compact"/>
                    <w:jc w:val="right"/>
                    <w:jc w:val="center"/>
                  </w:pPr>
                  <w:r>
                    <w:t xml:space="preserve">26.3</w:t>
                  </w:r>
                </w:p>
              </w:tc>
            </w:tr>
            <w:tr>
              <w:tc>
                <w:tcPr/>
                <w:p>
                  <w:pPr>
                    <w:pStyle w:val="Compact"/>
                    <w:jc w:val="left"/>
                    <w:jc w:val="center"/>
                  </w:pPr>
                  <w:r>
                    <w:t xml:space="preserve">D4</w:t>
                  </w:r>
                </w:p>
              </w:tc>
              <w:tc>
                <w:tcPr/>
                <w:p>
                  <w:pPr>
                    <w:pStyle w:val="Compact"/>
                    <w:jc w:val="left"/>
                    <w:jc w:val="center"/>
                  </w:pPr>
                  <w:r>
                    <w:t xml:space="preserve">Safety leadership activities</w:t>
                  </w:r>
                </w:p>
              </w:tc>
              <w:tc>
                <w:tcPr/>
                <w:p>
                  <w:pPr>
                    <w:pStyle w:val="Compact"/>
                    <w:jc w:val="right"/>
                    <w:jc w:val="center"/>
                  </w:pPr>
                  <w:r>
                    <w:t xml:space="preserve">14</w:t>
                  </w:r>
                </w:p>
              </w:tc>
              <w:tc>
                <w:tcPr/>
                <w:p>
                  <w:pPr>
                    <w:pStyle w:val="Compact"/>
                    <w:jc w:val="right"/>
                    <w:jc w:val="center"/>
                  </w:pPr>
                  <w:r>
                    <w:t xml:space="preserve">24.6</w:t>
                  </w:r>
                </w:p>
              </w:tc>
            </w:tr>
            <w:tr>
              <w:tc>
                <w:tcPr/>
                <w:p>
                  <w:pPr>
                    <w:pStyle w:val="Compact"/>
                    <w:jc w:val="left"/>
                    <w:jc w:val="center"/>
                  </w:pPr>
                  <w:r>
                    <w:t xml:space="preserve">D3</w:t>
                  </w:r>
                </w:p>
              </w:tc>
              <w:tc>
                <w:tcPr/>
                <w:p>
                  <w:pPr>
                    <w:pStyle w:val="Compact"/>
                    <w:jc w:val="left"/>
                    <w:jc w:val="center"/>
                  </w:pPr>
                  <w:r>
                    <w:t xml:space="preserve">Allocate tasks</w:t>
                  </w:r>
                </w:p>
              </w:tc>
              <w:tc>
                <w:tcPr/>
                <w:p>
                  <w:pPr>
                    <w:pStyle w:val="Compact"/>
                    <w:jc w:val="right"/>
                    <w:jc w:val="center"/>
                  </w:pPr>
                  <w:r>
                    <w:t xml:space="preserve">10</w:t>
                  </w:r>
                </w:p>
              </w:tc>
              <w:tc>
                <w:tcPr/>
                <w:p>
                  <w:pPr>
                    <w:pStyle w:val="Compact"/>
                    <w:jc w:val="right"/>
                    <w:jc w:val="center"/>
                  </w:pPr>
                  <w:r>
                    <w:t xml:space="preserve">17.5</w:t>
                  </w:r>
                </w:p>
              </w:tc>
            </w:tr>
            <w:tr>
              <w:tc>
                <w:tcPr/>
                <w:p>
                  <w:pPr>
                    <w:pStyle w:val="Compact"/>
                    <w:jc w:val="left"/>
                    <w:jc w:val="center"/>
                  </w:pPr>
                  <w:r>
                    <w:t xml:space="preserve">D9</w:t>
                  </w:r>
                </w:p>
              </w:tc>
              <w:tc>
                <w:tcPr/>
                <w:p>
                  <w:pPr>
                    <w:pStyle w:val="Compact"/>
                    <w:jc w:val="left"/>
                    <w:jc w:val="center"/>
                  </w:pPr>
                  <w:r>
                    <w:t xml:space="preserve">Coordinate resources</w:t>
                  </w:r>
                </w:p>
              </w:tc>
              <w:tc>
                <w:tcPr/>
                <w:p>
                  <w:pPr>
                    <w:pStyle w:val="Compact"/>
                    <w:jc w:val="right"/>
                    <w:jc w:val="center"/>
                  </w:pPr>
                  <w:r>
                    <w:t xml:space="preserve">8</w:t>
                  </w:r>
                </w:p>
              </w:tc>
              <w:tc>
                <w:tcPr/>
                <w:p>
                  <w:pPr>
                    <w:pStyle w:val="Compact"/>
                    <w:jc w:val="right"/>
                    <w:jc w:val="center"/>
                  </w:pPr>
                  <w:r>
                    <w:t xml:space="preserve">14</w:t>
                  </w:r>
                </w:p>
              </w:tc>
            </w:tr>
            <w:tr>
              <w:tc>
                <w:tcPr/>
                <w:p>
                  <w:pPr>
                    <w:pStyle w:val="Compact"/>
                    <w:jc w:val="left"/>
                    <w:jc w:val="center"/>
                  </w:pPr>
                  <w:r>
                    <w:t xml:space="preserve">D17</w:t>
                  </w:r>
                </w:p>
              </w:tc>
              <w:tc>
                <w:tcPr/>
                <w:p>
                  <w:pPr>
                    <w:pStyle w:val="Compact"/>
                    <w:jc w:val="left"/>
                    <w:jc w:val="center"/>
                  </w:pPr>
                  <w:r>
                    <w:t xml:space="preserve">Training &amp; competency assurance</w:t>
                  </w:r>
                </w:p>
              </w:tc>
              <w:tc>
                <w:tcPr/>
                <w:p>
                  <w:pPr>
                    <w:pStyle w:val="Compact"/>
                    <w:jc w:val="right"/>
                    <w:jc w:val="center"/>
                  </w:pPr>
                  <w:r>
                    <w:t xml:space="preserve">6</w:t>
                  </w:r>
                </w:p>
              </w:tc>
              <w:tc>
                <w:tcPr/>
                <w:p>
                  <w:pPr>
                    <w:pStyle w:val="Compact"/>
                    <w:jc w:val="right"/>
                    <w:jc w:val="center"/>
                  </w:pPr>
                  <w:r>
                    <w:t xml:space="preserve">10.5</w:t>
                  </w:r>
                </w:p>
              </w:tc>
            </w:tr>
            <w:tr>
              <w:tc>
                <w:tcPr/>
                <w:p>
                  <w:pPr>
                    <w:pStyle w:val="Compact"/>
                    <w:jc w:val="left"/>
                    <w:jc w:val="center"/>
                  </w:pPr>
                  <w:r>
                    <w:t xml:space="preserve">D18</w:t>
                  </w:r>
                </w:p>
              </w:tc>
              <w:tc>
                <w:tcPr/>
                <w:p>
                  <w:pPr>
                    <w:pStyle w:val="Compact"/>
                    <w:jc w:val="left"/>
                    <w:jc w:val="center"/>
                  </w:pPr>
                  <w:r>
                    <w:t xml:space="preserve">Shift handover</w:t>
                  </w:r>
                </w:p>
              </w:tc>
              <w:tc>
                <w:tcPr/>
                <w:p>
                  <w:pPr>
                    <w:pStyle w:val="Compact"/>
                    <w:jc w:val="right"/>
                    <w:jc w:val="center"/>
                  </w:pPr>
                  <w:r>
                    <w:t xml:space="preserve">6</w:t>
                  </w:r>
                </w:p>
              </w:tc>
              <w:tc>
                <w:tcPr/>
                <w:p>
                  <w:pPr>
                    <w:pStyle w:val="Compact"/>
                    <w:jc w:val="right"/>
                    <w:jc w:val="center"/>
                  </w:pPr>
                  <w:r>
                    <w:t xml:space="preserve">10.5</w:t>
                  </w:r>
                </w:p>
              </w:tc>
            </w:tr>
            <w:tr>
              <w:tc>
                <w:tcPr/>
                <w:p>
                  <w:pPr>
                    <w:pStyle w:val="Compact"/>
                    <w:jc w:val="left"/>
                    <w:jc w:val="center"/>
                  </w:pPr>
                  <w:r>
                    <w:t xml:space="preserve">D13</w:t>
                  </w:r>
                </w:p>
              </w:tc>
              <w:tc>
                <w:tcPr/>
                <w:p>
                  <w:pPr>
                    <w:pStyle w:val="Compact"/>
                    <w:jc w:val="left"/>
                    <w:jc w:val="center"/>
                  </w:pPr>
                  <w:r>
                    <w:t xml:space="preserve">Incident investigation</w:t>
                  </w:r>
                </w:p>
              </w:tc>
              <w:tc>
                <w:tcPr/>
                <w:p>
                  <w:pPr>
                    <w:pStyle w:val="Compact"/>
                    <w:jc w:val="right"/>
                    <w:jc w:val="center"/>
                  </w:pPr>
                  <w:r>
                    <w:t xml:space="preserve">5</w:t>
                  </w:r>
                </w:p>
              </w:tc>
              <w:tc>
                <w:tcPr/>
                <w:p>
                  <w:pPr>
                    <w:pStyle w:val="Compact"/>
                    <w:jc w:val="right"/>
                    <w:jc w:val="center"/>
                  </w:pPr>
                  <w:r>
                    <w:t xml:space="preserve">8.8</w:t>
                  </w:r>
                </w:p>
              </w:tc>
            </w:tr>
            <w:tr>
              <w:tc>
                <w:tcPr/>
                <w:p>
                  <w:pPr>
                    <w:pStyle w:val="Compact"/>
                    <w:jc w:val="left"/>
                    <w:jc w:val="center"/>
                  </w:pPr>
                  <w:r>
                    <w:t xml:space="preserve">D14</w:t>
                  </w:r>
                </w:p>
              </w:tc>
              <w:tc>
                <w:tcPr/>
                <w:p>
                  <w:pPr>
                    <w:pStyle w:val="Compact"/>
                    <w:jc w:val="left"/>
                    <w:jc w:val="center"/>
                  </w:pPr>
                  <w:r>
                    <w:t xml:space="preserve">Permits &amp; high-risk activities</w:t>
                  </w:r>
                </w:p>
              </w:tc>
              <w:tc>
                <w:tcPr/>
                <w:p>
                  <w:pPr>
                    <w:pStyle w:val="Compact"/>
                    <w:jc w:val="right"/>
                    <w:jc w:val="center"/>
                  </w:pPr>
                  <w:r>
                    <w:t xml:space="preserve">3</w:t>
                  </w:r>
                </w:p>
              </w:tc>
              <w:tc>
                <w:tcPr/>
                <w:p>
                  <w:pPr>
                    <w:pStyle w:val="Compact"/>
                    <w:jc w:val="right"/>
                    <w:jc w:val="center"/>
                  </w:pPr>
                  <w:r>
                    <w:t xml:space="preserve">5.3</w:t>
                  </w:r>
                </w:p>
              </w:tc>
            </w:tr>
          </w:tbl>
          <w:bookmarkEnd w:id="31"/>
          <w:p/>
        </w:tc>
      </w:tr>
    </w:tbl>
    <w:p>
      <w:pPr>
        <w:pStyle w:val="BodyText"/>
      </w:pPr>
      <w:r>
        <w:t xml:space="preserve"> </w:t>
      </w:r>
    </w:p>
    <w:tbl>
      <w:tblPr>
        <w:tblStyle w:val="Table"/>
        <w:tblW w:type="pct" w:w="5000"/>
        <w:tblLayout w:type="fixed"/>
        <w:tblLook w:firstRow="0" w:lastRow="0" w:firstColumn="0" w:lastColumn="0" w:noHBand="0" w:noVBand="0" w:val="0000"/>
        <w:tblBorders>
          <w:top w:val="nil"/>
          <w:bottom w:val="nil"/>
          <w:left w:val="nil"/>
          <w:right w:val="nil"/>
          <w:insideH w:val="nil"/>
          <w:insideV w:val="nil"/>
        </w:tblBorders>
      </w:tblPr>
      <w:tblGrid>
        <w:gridCol w:w="7920"/>
      </w:tblGrid>
      <w:tr>
        <w:tc>
          <w:tcPr>
            <w:tcBorders>
              <w:top w:val="nil"/>
              <w:bottom w:val="nil"/>
              <w:left w:val="nil"/>
              <w:right w:val="nil"/>
            </w:tcBorders>
          </w:tcPr>
          <w:bookmarkStart w:id="35" w:name="fig-duty"/>
          <w:p>
            <w:pPr>
              <w:pStyle w:val="Compact"/>
              <w:jc w:val="center"/>
            </w:pPr>
            <w:r>
              <w:drawing>
                <wp:inline>
                  <wp:extent cx="5073650" cy="2704351"/>
                  <wp:effectExtent b="0" l="0" r="0" t="0"/>
                  <wp:docPr descr="" title="" id="33" name="Picture"/>
                  <a:graphic>
                    <a:graphicData uri="http://schemas.openxmlformats.org/drawingml/2006/picture">
                      <pic:pic>
                        <pic:nvPicPr>
                          <pic:cNvPr descr="../figures/top_duty.png" id="34" name="Picture"/>
                          <pic:cNvPicPr>
                            <a:picLocks noChangeArrowheads="1" noChangeAspect="1"/>
                          </pic:cNvPicPr>
                        </pic:nvPicPr>
                        <pic:blipFill>
                          <a:blip r:embed="rId32"/>
                          <a:stretch>
                            <a:fillRect/>
                          </a:stretch>
                        </pic:blipFill>
                        <pic:spPr bwMode="auto">
                          <a:xfrm>
                            <a:off x="0" y="0"/>
                            <a:ext cx="5073650" cy="270435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Top 12 duties across 57 JDs</w:t>
            </w:r>
          </w:p>
          <w:bookmarkEnd w:id="35"/>
        </w:tc>
      </w:tr>
    </w:tbl>
    <w:p>
      <w:pPr>
        <w:pStyle w:val="BodyText"/>
      </w:pPr>
      <w:r>
        <w:rPr>
          <w:b/>
          <w:bCs/>
        </w:rPr>
        <w:t xml:space="preserve">Observations:</w:t>
      </w:r>
    </w:p>
    <w:p>
      <w:pPr>
        <w:pStyle w:val="Compact"/>
        <w:numPr>
          <w:ilvl w:val="0"/>
          <w:numId w:val="1005"/>
        </w:numPr>
      </w:pPr>
      <w:r>
        <w:t xml:space="preserve">The four most-named duties are D1 (supervise and lead crews/contractors, 34 JDs, 60%), D6 (promote and uphold safety culture, 30 JDs, 53%), D2 (coach, mentor and develop team capability, 28 JDs, 49%), and D5 (ensure statutory compliance, 27 JDs, 47%).</w:t>
      </w:r>
    </w:p>
    <w:p>
      <w:pPr>
        <w:pStyle w:val="Compact"/>
        <w:numPr>
          <w:ilvl w:val="0"/>
          <w:numId w:val="1005"/>
        </w:numPr>
      </w:pPr>
      <w:r>
        <w:t xml:space="preserve">Three duties are tied at 22 JDs (39%): D7 (oversee daily operations), D10 (drive continuous improvement), and D12 (reporting, budgets and administration).</w:t>
      </w:r>
    </w:p>
    <w:p>
      <w:pPr>
        <w:pStyle w:val="Compact"/>
        <w:numPr>
          <w:ilvl w:val="0"/>
          <w:numId w:val="1005"/>
        </w:numPr>
      </w:pPr>
      <w:r>
        <w:t xml:space="preserve">The least-named duties are D13 (incident investigation, 5 JDs, 9%) and D14 (permits, isolations and high-risk activity management, 3 JDs, 5%).</w:t>
      </w:r>
    </w:p>
    <w:p>
      <w:pPr>
        <w:pStyle w:val="Compact"/>
        <w:numPr>
          <w:ilvl w:val="0"/>
          <w:numId w:val="1005"/>
        </w:numPr>
      </w:pPr>
      <w:r>
        <w:t xml:space="preserve">D17 (training delivery and competency assurance) is named in 6 JDs (10%): one Coal Surface (Supervisor Blast Crew Goonyella), one Coal Underground (Development Supervisor BHP/BMA), two Minerals Surface (Glencore 2, Thiess Mining), and two Quarry (Boral Narangba, BQC).</w:t>
      </w:r>
    </w:p>
    <w:p>
      <w:pPr>
        <w:pStyle w:val="Compact"/>
        <w:numPr>
          <w:ilvl w:val="0"/>
          <w:numId w:val="1005"/>
        </w:numPr>
      </w:pPr>
      <w:r>
        <w:t xml:space="preserve">D13 (incident investigation) is named in 5 JDs: three Coal Surface (BHP Lead Supervisor Shutdown, Thiess Maintenance Mackay, BHP) and two Minerals Surface (Macmahon, Thiess Mining).</w:t>
      </w:r>
    </w:p>
    <w:tbl>
      <w:tblPr>
        <w:tblStyle w:val="Table"/>
        <w:tblW w:type="pct" w:w="5000"/>
        <w:tblLayout w:type="fixed"/>
        <w:tblLook w:firstRow="0" w:lastRow="0" w:firstColumn="0" w:lastColumn="0" w:noHBand="0" w:noVBand="0" w:val="0000"/>
        <w:tblBorders>
          <w:top w:val="nil"/>
          <w:bottom w:val="nil"/>
          <w:left w:val="nil"/>
          <w:right w:val="nil"/>
          <w:insideH w:val="nil"/>
          <w:insideV w:val="nil"/>
        </w:tblBorders>
      </w:tblPr>
      <w:tblGrid>
        <w:gridCol w:w="7920"/>
      </w:tblGrid>
      <w:tr>
        <w:tc>
          <w:tcPr>
            <w:tcBorders>
              <w:top w:val="nil"/>
              <w:bottom w:val="nil"/>
              <w:left w:val="nil"/>
              <w:right w:val="nil"/>
            </w:tcBorders>
          </w:tcPr>
          <w:bookmarkStart w:id="39" w:name="fig-duty-sector"/>
          <w:p>
            <w:pPr>
              <w:pStyle w:val="Compact"/>
              <w:jc w:val="center"/>
            </w:pPr>
            <w:r>
              <w:drawing>
                <wp:inline>
                  <wp:extent cx="5372100" cy="3277188"/>
                  <wp:effectExtent b="0" l="0" r="0" t="0"/>
                  <wp:docPr descr="" title="" id="37" name="Picture"/>
                  <a:graphic>
                    <a:graphicData uri="http://schemas.openxmlformats.org/drawingml/2006/picture">
                      <pic:pic>
                        <pic:nvPicPr>
                          <pic:cNvPr descr="../figures/heatmap_duty.png" id="38" name="Picture"/>
                          <pic:cNvPicPr>
                            <a:picLocks noChangeArrowheads="1" noChangeAspect="1"/>
                          </pic:cNvPicPr>
                        </pic:nvPicPr>
                        <pic:blipFill>
                          <a:blip r:embed="rId36"/>
                          <a:stretch>
                            <a:fillRect/>
                          </a:stretch>
                        </pic:blipFill>
                        <pic:spPr bwMode="auto">
                          <a:xfrm>
                            <a:off x="0" y="0"/>
                            <a:ext cx="5372100" cy="327718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Duties by sector (% of JDs in each sector)</w:t>
            </w:r>
          </w:p>
          <w:bookmarkEnd w:id="39"/>
        </w:tc>
      </w:tr>
    </w:tbl>
    <w:bookmarkEnd w:id="40"/>
    <w:bookmarkStart w:id="50" w:name="dispositions"/>
    <w:p>
      <w:pPr>
        <w:pStyle w:val="Heading1"/>
      </w:pPr>
      <w:r>
        <w:t xml:space="preserve">5. Dispositions</w:t>
      </w:r>
    </w:p>
    <w:tbl>
      <w:tblPr>
        <w:tblStyle w:val="Table"/>
        <w:tblW w:type="pct" w:w="5000"/>
        <w:tblLayout w:type="fixed"/>
        <w:tblLook w:firstRow="0" w:lastRow="0" w:firstColumn="0" w:lastColumn="0" w:noHBand="0" w:noVBand="0" w:val="0000"/>
        <w:tblBorders>
          <w:top w:val="nil"/>
          <w:bottom w:val="nil"/>
          <w:left w:val="nil"/>
          <w:right w:val="nil"/>
          <w:insideH w:val="nil"/>
          <w:insideV w:val="nil"/>
        </w:tblBorders>
      </w:tblPr>
      <w:tblGrid>
        <w:gridCol w:w="7920"/>
      </w:tblGrid>
      <w:tr>
        <w:tc>
          <w:tcPr>
            <w:tcBorders>
              <w:top w:val="nil"/>
              <w:bottom w:val="nil"/>
              <w:left w:val="nil"/>
              <w:right w:val="nil"/>
            </w:tcBorders>
          </w:tcPr>
          <w:bookmarkStart w:id="41" w:name="tbl-disposition"/>
          <w:p>
            <w:pPr>
              <w:jc w:val="center"/>
            </w:pPr>
            <w:pPr>
              <w:jc w:val="left"/>
              <w:spacing w:before="200"/>
              <w:pStyle w:val="ImageCaption"/>
            </w:pPr>
            <w:r>
              <w:t xml:space="preserve">Table 4: Dispositions: frequency across all 57 JDs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code</w:t>
                  </w:r>
                </w:p>
              </w:tc>
              <w:tc>
                <w:tcPr/>
                <w:p>
                  <w:pPr>
                    <w:pStyle w:val="Compact"/>
                    <w:jc w:val="left"/>
                    <w:jc w:val="center"/>
                  </w:pPr>
                  <w:r>
                    <w:t xml:space="preserve">label</w:t>
                  </w:r>
                </w:p>
              </w:tc>
              <w:tc>
                <w:tcPr/>
                <w:p>
                  <w:pPr>
                    <w:pStyle w:val="Compact"/>
                    <w:jc w:val="right"/>
                    <w:jc w:val="center"/>
                  </w:pPr>
                  <w:r>
                    <w:t xml:space="preserve">n_jds</w:t>
                  </w:r>
                </w:p>
              </w:tc>
              <w:tc>
                <w:tcPr/>
                <w:p>
                  <w:pPr>
                    <w:pStyle w:val="Compact"/>
                    <w:jc w:val="right"/>
                    <w:jc w:val="center"/>
                  </w:pPr>
                  <w:r>
                    <w:t xml:space="preserve">pct_jds</w:t>
                  </w:r>
                </w:p>
              </w:tc>
            </w:tr>
            <w:tr>
              <w:tc>
                <w:tcPr/>
                <w:p>
                  <w:pPr>
                    <w:pStyle w:val="Compact"/>
                    <w:jc w:val="left"/>
                    <w:jc w:val="center"/>
                  </w:pPr>
                  <w:r>
                    <w:t xml:space="preserve">DP2</w:t>
                  </w:r>
                </w:p>
              </w:tc>
              <w:tc>
                <w:tcPr/>
                <w:p>
                  <w:pPr>
                    <w:pStyle w:val="Compact"/>
                    <w:jc w:val="left"/>
                    <w:jc w:val="center"/>
                  </w:pPr>
                  <w:r>
                    <w:t xml:space="preserve">Strong communicator</w:t>
                  </w:r>
                </w:p>
              </w:tc>
              <w:tc>
                <w:tcPr/>
                <w:p>
                  <w:pPr>
                    <w:pStyle w:val="Compact"/>
                    <w:jc w:val="right"/>
                    <w:jc w:val="center"/>
                  </w:pPr>
                  <w:r>
                    <w:t xml:space="preserve">31</w:t>
                  </w:r>
                </w:p>
              </w:tc>
              <w:tc>
                <w:tcPr/>
                <w:p>
                  <w:pPr>
                    <w:pStyle w:val="Compact"/>
                    <w:jc w:val="right"/>
                    <w:jc w:val="center"/>
                  </w:pPr>
                  <w:r>
                    <w:t xml:space="preserve">54.4</w:t>
                  </w:r>
                </w:p>
              </w:tc>
            </w:tr>
            <w:tr>
              <w:tc>
                <w:tcPr/>
                <w:p>
                  <w:pPr>
                    <w:pStyle w:val="Compact"/>
                    <w:jc w:val="left"/>
                    <w:jc w:val="center"/>
                  </w:pPr>
                  <w:r>
                    <w:t xml:space="preserve">DP1</w:t>
                  </w:r>
                </w:p>
              </w:tc>
              <w:tc>
                <w:tcPr/>
                <w:p>
                  <w:pPr>
                    <w:pStyle w:val="Compact"/>
                    <w:jc w:val="left"/>
                    <w:jc w:val="center"/>
                  </w:pPr>
                  <w:r>
                    <w:t xml:space="preserve">Safety-focused</w:t>
                  </w:r>
                </w:p>
              </w:tc>
              <w:tc>
                <w:tcPr/>
                <w:p>
                  <w:pPr>
                    <w:pStyle w:val="Compact"/>
                    <w:jc w:val="right"/>
                    <w:jc w:val="center"/>
                  </w:pPr>
                  <w:r>
                    <w:t xml:space="preserve">21</w:t>
                  </w:r>
                </w:p>
              </w:tc>
              <w:tc>
                <w:tcPr/>
                <w:p>
                  <w:pPr>
                    <w:pStyle w:val="Compact"/>
                    <w:jc w:val="right"/>
                    <w:jc w:val="center"/>
                  </w:pPr>
                  <w:r>
                    <w:t xml:space="preserve">36.8</w:t>
                  </w:r>
                </w:p>
              </w:tc>
            </w:tr>
            <w:tr>
              <w:tc>
                <w:tcPr/>
                <w:p>
                  <w:pPr>
                    <w:pStyle w:val="Compact"/>
                    <w:jc w:val="left"/>
                    <w:jc w:val="center"/>
                  </w:pPr>
                  <w:r>
                    <w:t xml:space="preserve">DP14</w:t>
                  </w:r>
                </w:p>
              </w:tc>
              <w:tc>
                <w:tcPr/>
                <w:p>
                  <w:pPr>
                    <w:pStyle w:val="Compact"/>
                    <w:jc w:val="left"/>
                    <w:jc w:val="center"/>
                  </w:pPr>
                  <w:r>
                    <w:t xml:space="preserve">Relationship-building</w:t>
                  </w:r>
                </w:p>
              </w:tc>
              <w:tc>
                <w:tcPr/>
                <w:p>
                  <w:pPr>
                    <w:pStyle w:val="Compact"/>
                    <w:jc w:val="right"/>
                    <w:jc w:val="center"/>
                  </w:pPr>
                  <w:r>
                    <w:t xml:space="preserve">12</w:t>
                  </w:r>
                </w:p>
              </w:tc>
              <w:tc>
                <w:tcPr/>
                <w:p>
                  <w:pPr>
                    <w:pStyle w:val="Compact"/>
                    <w:jc w:val="right"/>
                    <w:jc w:val="center"/>
                  </w:pPr>
                  <w:r>
                    <w:t xml:space="preserve">21.1</w:t>
                  </w:r>
                </w:p>
              </w:tc>
            </w:tr>
            <w:tr>
              <w:tc>
                <w:tcPr/>
                <w:p>
                  <w:pPr>
                    <w:pStyle w:val="Compact"/>
                    <w:jc w:val="left"/>
                    <w:jc w:val="center"/>
                  </w:pPr>
                  <w:r>
                    <w:t xml:space="preserve">DP6</w:t>
                  </w:r>
                </w:p>
              </w:tc>
              <w:tc>
                <w:tcPr/>
                <w:p>
                  <w:pPr>
                    <w:pStyle w:val="Compact"/>
                    <w:jc w:val="left"/>
                    <w:jc w:val="center"/>
                  </w:pPr>
                  <w:r>
                    <w:t xml:space="preserve">Problem-solver</w:t>
                  </w:r>
                </w:p>
              </w:tc>
              <w:tc>
                <w:tcPr/>
                <w:p>
                  <w:pPr>
                    <w:pStyle w:val="Compact"/>
                    <w:jc w:val="right"/>
                    <w:jc w:val="center"/>
                  </w:pPr>
                  <w:r>
                    <w:t xml:space="preserve">12</w:t>
                  </w:r>
                </w:p>
              </w:tc>
              <w:tc>
                <w:tcPr/>
                <w:p>
                  <w:pPr>
                    <w:pStyle w:val="Compact"/>
                    <w:jc w:val="right"/>
                    <w:jc w:val="center"/>
                  </w:pPr>
                  <w:r>
                    <w:t xml:space="preserve">21.1</w:t>
                  </w:r>
                </w:p>
              </w:tc>
            </w:tr>
            <w:tr>
              <w:tc>
                <w:tcPr/>
                <w:p>
                  <w:pPr>
                    <w:pStyle w:val="Compact"/>
                    <w:jc w:val="left"/>
                    <w:jc w:val="center"/>
                  </w:pPr>
                  <w:r>
                    <w:t xml:space="preserve">DP13</w:t>
                  </w:r>
                </w:p>
              </w:tc>
              <w:tc>
                <w:tcPr/>
                <w:p>
                  <w:pPr>
                    <w:pStyle w:val="Compact"/>
                    <w:jc w:val="left"/>
                    <w:jc w:val="center"/>
                  </w:pPr>
                  <w:r>
                    <w:t xml:space="preserve">Time management</w:t>
                  </w:r>
                </w:p>
              </w:tc>
              <w:tc>
                <w:tcPr/>
                <w:p>
                  <w:pPr>
                    <w:pStyle w:val="Compact"/>
                    <w:jc w:val="right"/>
                    <w:jc w:val="center"/>
                  </w:pPr>
                  <w:r>
                    <w:t xml:space="preserve">8</w:t>
                  </w:r>
                </w:p>
              </w:tc>
              <w:tc>
                <w:tcPr/>
                <w:p>
                  <w:pPr>
                    <w:pStyle w:val="Compact"/>
                    <w:jc w:val="right"/>
                    <w:jc w:val="center"/>
                  </w:pPr>
                  <w:r>
                    <w:t xml:space="preserve">14</w:t>
                  </w:r>
                </w:p>
              </w:tc>
            </w:tr>
            <w:tr>
              <w:tc>
                <w:tcPr/>
                <w:p>
                  <w:pPr>
                    <w:pStyle w:val="Compact"/>
                    <w:jc w:val="left"/>
                    <w:jc w:val="center"/>
                  </w:pPr>
                  <w:r>
                    <w:t xml:space="preserve">DP12</w:t>
                  </w:r>
                </w:p>
              </w:tc>
              <w:tc>
                <w:tcPr/>
                <w:p>
                  <w:pPr>
                    <w:pStyle w:val="Compact"/>
                    <w:jc w:val="left"/>
                    <w:jc w:val="center"/>
                  </w:pPr>
                  <w:r>
                    <w:t xml:space="preserve">Decision-making under pressure</w:t>
                  </w:r>
                </w:p>
              </w:tc>
              <w:tc>
                <w:tcPr/>
                <w:p>
                  <w:pPr>
                    <w:pStyle w:val="Compact"/>
                    <w:jc w:val="right"/>
                    <w:jc w:val="center"/>
                  </w:pPr>
                  <w:r>
                    <w:t xml:space="preserve">7</w:t>
                  </w:r>
                </w:p>
              </w:tc>
              <w:tc>
                <w:tcPr/>
                <w:p>
                  <w:pPr>
                    <w:pStyle w:val="Compact"/>
                    <w:jc w:val="right"/>
                    <w:jc w:val="center"/>
                  </w:pPr>
                  <w:r>
                    <w:t xml:space="preserve">12.3</w:t>
                  </w:r>
                </w:p>
              </w:tc>
            </w:tr>
            <w:tr>
              <w:tc>
                <w:tcPr/>
                <w:p>
                  <w:pPr>
                    <w:pStyle w:val="Compact"/>
                    <w:jc w:val="left"/>
                    <w:jc w:val="center"/>
                  </w:pPr>
                  <w:r>
                    <w:t xml:space="preserve">DP5</w:t>
                  </w:r>
                </w:p>
              </w:tc>
              <w:tc>
                <w:tcPr/>
                <w:p>
                  <w:pPr>
                    <w:pStyle w:val="Compact"/>
                    <w:jc w:val="left"/>
                    <w:jc w:val="center"/>
                  </w:pPr>
                  <w:r>
                    <w:t xml:space="preserve">Hands-on, lead by example</w:t>
                  </w:r>
                </w:p>
              </w:tc>
              <w:tc>
                <w:tcPr/>
                <w:p>
                  <w:pPr>
                    <w:pStyle w:val="Compact"/>
                    <w:jc w:val="right"/>
                    <w:jc w:val="center"/>
                  </w:pPr>
                  <w:r>
                    <w:t xml:space="preserve">6</w:t>
                  </w:r>
                </w:p>
              </w:tc>
              <w:tc>
                <w:tcPr/>
                <w:p>
                  <w:pPr>
                    <w:pStyle w:val="Compact"/>
                    <w:jc w:val="right"/>
                    <w:jc w:val="center"/>
                  </w:pPr>
                  <w:r>
                    <w:t xml:space="preserve">10.5</w:t>
                  </w:r>
                </w:p>
              </w:tc>
            </w:tr>
            <w:tr>
              <w:tc>
                <w:tcPr/>
                <w:p>
                  <w:pPr>
                    <w:pStyle w:val="Compact"/>
                    <w:jc w:val="left"/>
                    <w:jc w:val="center"/>
                  </w:pPr>
                  <w:r>
                    <w:t xml:space="preserve">DP11</w:t>
                  </w:r>
                </w:p>
              </w:tc>
              <w:tc>
                <w:tcPr/>
                <w:p>
                  <w:pPr>
                    <w:pStyle w:val="Compact"/>
                    <w:jc w:val="left"/>
                    <w:jc w:val="center"/>
                  </w:pPr>
                  <w:r>
                    <w:t xml:space="preserve">Adaptable / flexible</w:t>
                  </w:r>
                </w:p>
              </w:tc>
              <w:tc>
                <w:tcPr/>
                <w:p>
                  <w:pPr>
                    <w:pStyle w:val="Compact"/>
                    <w:jc w:val="right"/>
                    <w:jc w:val="center"/>
                  </w:pPr>
                  <w:r>
                    <w:t xml:space="preserve">5</w:t>
                  </w:r>
                </w:p>
              </w:tc>
              <w:tc>
                <w:tcPr/>
                <w:p>
                  <w:pPr>
                    <w:pStyle w:val="Compact"/>
                    <w:jc w:val="right"/>
                    <w:jc w:val="center"/>
                  </w:pPr>
                  <w:r>
                    <w:t xml:space="preserve">8.8</w:t>
                  </w:r>
                </w:p>
              </w:tc>
            </w:tr>
            <w:tr>
              <w:tc>
                <w:tcPr/>
                <w:p>
                  <w:pPr>
                    <w:pStyle w:val="Compact"/>
                    <w:jc w:val="left"/>
                    <w:jc w:val="center"/>
                  </w:pPr>
                  <w:r>
                    <w:t xml:space="preserve">DP7</w:t>
                  </w:r>
                </w:p>
              </w:tc>
              <w:tc>
                <w:tcPr/>
                <w:p>
                  <w:pPr>
                    <w:pStyle w:val="Compact"/>
                    <w:jc w:val="left"/>
                    <w:jc w:val="center"/>
                  </w:pPr>
                  <w:r>
                    <w:t xml:space="preserve">Initiative / proactive</w:t>
                  </w:r>
                </w:p>
              </w:tc>
              <w:tc>
                <w:tcPr/>
                <w:p>
                  <w:pPr>
                    <w:pStyle w:val="Compact"/>
                    <w:jc w:val="right"/>
                    <w:jc w:val="center"/>
                  </w:pPr>
                  <w:r>
                    <w:t xml:space="preserve">5</w:t>
                  </w:r>
                </w:p>
              </w:tc>
              <w:tc>
                <w:tcPr/>
                <w:p>
                  <w:pPr>
                    <w:pStyle w:val="Compact"/>
                    <w:jc w:val="right"/>
                    <w:jc w:val="center"/>
                  </w:pPr>
                  <w:r>
                    <w:t xml:space="preserve">8.8</w:t>
                  </w:r>
                </w:p>
              </w:tc>
            </w:tr>
            <w:tr>
              <w:tc>
                <w:tcPr/>
                <w:p>
                  <w:pPr>
                    <w:pStyle w:val="Compact"/>
                    <w:jc w:val="left"/>
                    <w:jc w:val="center"/>
                  </w:pPr>
                  <w:r>
                    <w:t xml:space="preserve">DP15</w:t>
                  </w:r>
                </w:p>
              </w:tc>
              <w:tc>
                <w:tcPr/>
                <w:p>
                  <w:pPr>
                    <w:pStyle w:val="Compact"/>
                    <w:jc w:val="left"/>
                    <w:jc w:val="center"/>
                  </w:pPr>
                  <w:r>
                    <w:t xml:space="preserve">Self-management</w:t>
                  </w:r>
                </w:p>
              </w:tc>
              <w:tc>
                <w:tcPr/>
                <w:p>
                  <w:pPr>
                    <w:pStyle w:val="Compact"/>
                    <w:jc w:val="right"/>
                    <w:jc w:val="center"/>
                  </w:pPr>
                  <w:r>
                    <w:t xml:space="preserve">4</w:t>
                  </w:r>
                </w:p>
              </w:tc>
              <w:tc>
                <w:tcPr/>
                <w:p>
                  <w:pPr>
                    <w:pStyle w:val="Compact"/>
                    <w:jc w:val="right"/>
                    <w:jc w:val="center"/>
                  </w:pPr>
                  <w:r>
                    <w:t xml:space="preserve">7</w:t>
                  </w:r>
                </w:p>
              </w:tc>
            </w:tr>
            <w:tr>
              <w:tc>
                <w:tcPr/>
                <w:p>
                  <w:pPr>
                    <w:pStyle w:val="Compact"/>
                    <w:jc w:val="left"/>
                    <w:jc w:val="center"/>
                  </w:pPr>
                  <w:r>
                    <w:t xml:space="preserve">DP3</w:t>
                  </w:r>
                </w:p>
              </w:tc>
              <w:tc>
                <w:tcPr/>
                <w:p>
                  <w:pPr>
                    <w:pStyle w:val="Compact"/>
                    <w:jc w:val="left"/>
                    <w:jc w:val="center"/>
                  </w:pPr>
                  <w:r>
                    <w:t xml:space="preserve">People-focused / caring</w:t>
                  </w:r>
                </w:p>
              </w:tc>
              <w:tc>
                <w:tcPr/>
                <w:p>
                  <w:pPr>
                    <w:pStyle w:val="Compact"/>
                    <w:jc w:val="right"/>
                    <w:jc w:val="center"/>
                  </w:pPr>
                  <w:r>
                    <w:t xml:space="preserve">4</w:t>
                  </w:r>
                </w:p>
              </w:tc>
              <w:tc>
                <w:tcPr/>
                <w:p>
                  <w:pPr>
                    <w:pStyle w:val="Compact"/>
                    <w:jc w:val="right"/>
                    <w:jc w:val="center"/>
                  </w:pPr>
                  <w:r>
                    <w:t xml:space="preserve">7</w:t>
                  </w:r>
                </w:p>
              </w:tc>
            </w:tr>
            <w:tr>
              <w:tc>
                <w:tcPr/>
                <w:p>
                  <w:pPr>
                    <w:pStyle w:val="Compact"/>
                    <w:jc w:val="left"/>
                    <w:jc w:val="center"/>
                  </w:pPr>
                  <w:r>
                    <w:t xml:space="preserve">DP10</w:t>
                  </w:r>
                </w:p>
              </w:tc>
              <w:tc>
                <w:tcPr/>
                <w:p>
                  <w:pPr>
                    <w:pStyle w:val="Compact"/>
                    <w:jc w:val="left"/>
                    <w:jc w:val="center"/>
                  </w:pPr>
                  <w:r>
                    <w:t xml:space="preserve">Continuous improvement mindset</w:t>
                  </w:r>
                </w:p>
              </w:tc>
              <w:tc>
                <w:tcPr/>
                <w:p>
                  <w:pPr>
                    <w:pStyle w:val="Compact"/>
                    <w:jc w:val="right"/>
                    <w:jc w:val="center"/>
                  </w:pPr>
                  <w:r>
                    <w:t xml:space="preserve">2</w:t>
                  </w:r>
                </w:p>
              </w:tc>
              <w:tc>
                <w:tcPr/>
                <w:p>
                  <w:pPr>
                    <w:pStyle w:val="Compact"/>
                    <w:jc w:val="right"/>
                    <w:jc w:val="center"/>
                  </w:pPr>
                  <w:r>
                    <w:t xml:space="preserve">3.5</w:t>
                  </w:r>
                </w:p>
              </w:tc>
            </w:tr>
            <w:tr>
              <w:tc>
                <w:tcPr/>
                <w:p>
                  <w:pPr>
                    <w:pStyle w:val="Compact"/>
                    <w:jc w:val="left"/>
                    <w:jc w:val="center"/>
                  </w:pPr>
                  <w:r>
                    <w:t xml:space="preserve">DP4</w:t>
                  </w:r>
                </w:p>
              </w:tc>
              <w:tc>
                <w:tcPr/>
                <w:p>
                  <w:pPr>
                    <w:pStyle w:val="Compact"/>
                    <w:jc w:val="left"/>
                    <w:jc w:val="center"/>
                  </w:pPr>
                  <w:r>
                    <w:t xml:space="preserve">Results-oriented</w:t>
                  </w:r>
                </w:p>
              </w:tc>
              <w:tc>
                <w:tcPr/>
                <w:p>
                  <w:pPr>
                    <w:pStyle w:val="Compact"/>
                    <w:jc w:val="right"/>
                    <w:jc w:val="center"/>
                  </w:pPr>
                  <w:r>
                    <w:t xml:space="preserve">2</w:t>
                  </w:r>
                </w:p>
              </w:tc>
              <w:tc>
                <w:tcPr/>
                <w:p>
                  <w:pPr>
                    <w:pStyle w:val="Compact"/>
                    <w:jc w:val="right"/>
                    <w:jc w:val="center"/>
                  </w:pPr>
                  <w:r>
                    <w:t xml:space="preserve">3.5</w:t>
                  </w:r>
                </w:p>
              </w:tc>
            </w:tr>
            <w:tr>
              <w:tc>
                <w:tcPr/>
                <w:p>
                  <w:pPr>
                    <w:pStyle w:val="Compact"/>
                    <w:jc w:val="left"/>
                    <w:jc w:val="center"/>
                  </w:pPr>
                  <w:r>
                    <w:t xml:space="preserve">DP9</w:t>
                  </w:r>
                </w:p>
              </w:tc>
              <w:tc>
                <w:tcPr/>
                <w:p>
                  <w:pPr>
                    <w:pStyle w:val="Compact"/>
                    <w:jc w:val="left"/>
                    <w:jc w:val="center"/>
                  </w:pPr>
                  <w:r>
                    <w:t xml:space="preserve">Coaching/mentoring trait</w:t>
                  </w:r>
                </w:p>
              </w:tc>
              <w:tc>
                <w:tcPr/>
                <w:p>
                  <w:pPr>
                    <w:pStyle w:val="Compact"/>
                    <w:jc w:val="right"/>
                    <w:jc w:val="center"/>
                  </w:pPr>
                  <w:r>
                    <w:t xml:space="preserve">2</w:t>
                  </w:r>
                </w:p>
              </w:tc>
              <w:tc>
                <w:tcPr/>
                <w:p>
                  <w:pPr>
                    <w:pStyle w:val="Compact"/>
                    <w:jc w:val="right"/>
                    <w:jc w:val="center"/>
                  </w:pPr>
                  <w:r>
                    <w:t xml:space="preserve">3.5</w:t>
                  </w:r>
                </w:p>
              </w:tc>
            </w:tr>
            <w:tr>
              <w:tc>
                <w:tcPr/>
                <w:p>
                  <w:pPr>
                    <w:pStyle w:val="Compact"/>
                    <w:jc w:val="left"/>
                    <w:jc w:val="center"/>
                  </w:pPr>
                  <w:r>
                    <w:t xml:space="preserve">DP16</w:t>
                  </w:r>
                </w:p>
              </w:tc>
              <w:tc>
                <w:tcPr/>
                <w:p>
                  <w:pPr>
                    <w:pStyle w:val="Compact"/>
                    <w:jc w:val="left"/>
                    <w:jc w:val="center"/>
                  </w:pPr>
                  <w:r>
                    <w:t xml:space="preserve">Inclusive leadership</w:t>
                  </w:r>
                </w:p>
              </w:tc>
              <w:tc>
                <w:tcPr/>
                <w:p>
                  <w:pPr>
                    <w:pStyle w:val="Compact"/>
                    <w:jc w:val="right"/>
                    <w:jc w:val="center"/>
                  </w:pPr>
                  <w:r>
                    <w:t xml:space="preserve">1</w:t>
                  </w:r>
                </w:p>
              </w:tc>
              <w:tc>
                <w:tcPr/>
                <w:p>
                  <w:pPr>
                    <w:pStyle w:val="Compact"/>
                    <w:jc w:val="right"/>
                    <w:jc w:val="center"/>
                  </w:pPr>
                  <w:r>
                    <w:t xml:space="preserve">1.8</w:t>
                  </w:r>
                </w:p>
              </w:tc>
            </w:tr>
          </w:tbl>
          <w:bookmarkEnd w:id="41"/>
          <w:p/>
        </w:tc>
      </w:tr>
    </w:tbl>
    <w:p>
      <w:pPr>
        <w:pStyle w:val="BodyText"/>
      </w:pPr>
      <w:r>
        <w:t xml:space="preserve"> </w:t>
      </w:r>
    </w:p>
    <w:tbl>
      <w:tblPr>
        <w:tblStyle w:val="Table"/>
        <w:tblW w:type="pct" w:w="5000"/>
        <w:tblLayout w:type="fixed"/>
        <w:tblLook w:firstRow="0" w:lastRow="0" w:firstColumn="0" w:lastColumn="0" w:noHBand="0" w:noVBand="0" w:val="0000"/>
        <w:tblBorders>
          <w:top w:val="nil"/>
          <w:bottom w:val="nil"/>
          <w:left w:val="nil"/>
          <w:right w:val="nil"/>
          <w:insideH w:val="nil"/>
          <w:insideV w:val="nil"/>
        </w:tblBorders>
      </w:tblPr>
      <w:tblGrid>
        <w:gridCol w:w="7920"/>
      </w:tblGrid>
      <w:tr>
        <w:tc>
          <w:tcPr>
            <w:tcBorders>
              <w:top w:val="nil"/>
              <w:bottom w:val="nil"/>
              <w:left w:val="nil"/>
              <w:right w:val="nil"/>
            </w:tcBorders>
          </w:tcPr>
          <w:bookmarkStart w:id="45" w:name="fig-disposition"/>
          <w:p>
            <w:pPr>
              <w:pStyle w:val="Compact"/>
              <w:jc w:val="center"/>
            </w:pPr>
            <w:r>
              <w:drawing>
                <wp:inline>
                  <wp:extent cx="5073650" cy="2702530"/>
                  <wp:effectExtent b="0" l="0" r="0" t="0"/>
                  <wp:docPr descr="" title="" id="43" name="Picture"/>
                  <a:graphic>
                    <a:graphicData uri="http://schemas.openxmlformats.org/drawingml/2006/picture">
                      <pic:pic>
                        <pic:nvPicPr>
                          <pic:cNvPr descr="../figures/top_disposition.png" id="44" name="Picture"/>
                          <pic:cNvPicPr>
                            <a:picLocks noChangeArrowheads="1" noChangeAspect="1"/>
                          </pic:cNvPicPr>
                        </pic:nvPicPr>
                        <pic:blipFill>
                          <a:blip r:embed="rId42"/>
                          <a:stretch>
                            <a:fillRect/>
                          </a:stretch>
                        </pic:blipFill>
                        <pic:spPr bwMode="auto">
                          <a:xfrm>
                            <a:off x="0" y="0"/>
                            <a:ext cx="5073650" cy="270253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Top dispositions across 57 JDs</w:t>
            </w:r>
          </w:p>
          <w:bookmarkEnd w:id="45"/>
        </w:tc>
      </w:tr>
    </w:tbl>
    <w:p>
      <w:pPr>
        <w:pStyle w:val="BodyText"/>
      </w:pPr>
      <w:r>
        <w:rPr>
          <w:b/>
          <w:bCs/>
        </w:rPr>
        <w:t xml:space="preserve">Observations:</w:t>
      </w:r>
    </w:p>
    <w:p>
      <w:pPr>
        <w:pStyle w:val="Compact"/>
        <w:numPr>
          <w:ilvl w:val="0"/>
          <w:numId w:val="1006"/>
        </w:numPr>
      </w:pPr>
      <w:r>
        <w:t xml:space="preserve">DP2 (strong communicator) appears in 31 JDs (54%), the highest count in this category.</w:t>
      </w:r>
    </w:p>
    <w:p>
      <w:pPr>
        <w:pStyle w:val="Compact"/>
        <w:numPr>
          <w:ilvl w:val="0"/>
          <w:numId w:val="1006"/>
        </w:numPr>
      </w:pPr>
      <w:r>
        <w:t xml:space="preserve">DP1 (safety-focused) appears in 21 JDs (37%).</w:t>
      </w:r>
    </w:p>
    <w:p>
      <w:pPr>
        <w:pStyle w:val="Compact"/>
        <w:numPr>
          <w:ilvl w:val="0"/>
          <w:numId w:val="1006"/>
        </w:numPr>
      </w:pPr>
      <w:r>
        <w:t xml:space="preserve">DP14 (relationship-building or stakeholder management) appears in 13 JDs (22%) and DP6 (problem-solver or analytical) in 12 JDs (21%).</w:t>
      </w:r>
    </w:p>
    <w:p>
      <w:pPr>
        <w:pStyle w:val="Compact"/>
        <w:numPr>
          <w:ilvl w:val="0"/>
          <w:numId w:val="1006"/>
        </w:numPr>
      </w:pPr>
      <w:r>
        <w:t xml:space="preserve">DP9 (coaching or mentoring orientation as a trait) appears in 2 JDs (3%). D2 (coach, mentor and develop) as a duty appears in 29 JDs (49%). JDs more often frame mentoring as an action than as a trait.</w:t>
      </w:r>
    </w:p>
    <w:p>
      <w:pPr>
        <w:pStyle w:val="Compact"/>
        <w:numPr>
          <w:ilvl w:val="0"/>
          <w:numId w:val="1006"/>
        </w:numPr>
      </w:pPr>
      <w:r>
        <w:t xml:space="preserve">DP16 (inclusive leadership) appears in 1 JD (Goonyella Blast Crew Supervisor BMA).</w:t>
      </w:r>
    </w:p>
    <w:tbl>
      <w:tblPr>
        <w:tblStyle w:val="Table"/>
        <w:tblW w:type="pct" w:w="5000"/>
        <w:tblLayout w:type="fixed"/>
        <w:tblLook w:firstRow="0" w:lastRow="0" w:firstColumn="0" w:lastColumn="0" w:noHBand="0" w:noVBand="0" w:val="0000"/>
        <w:tblBorders>
          <w:top w:val="nil"/>
          <w:bottom w:val="nil"/>
          <w:left w:val="nil"/>
          <w:right w:val="nil"/>
          <w:insideH w:val="nil"/>
          <w:insideV w:val="nil"/>
        </w:tblBorders>
      </w:tblPr>
      <w:tblGrid>
        <w:gridCol w:w="7920"/>
      </w:tblGrid>
      <w:tr>
        <w:tc>
          <w:tcPr>
            <w:tcBorders>
              <w:top w:val="nil"/>
              <w:bottom w:val="nil"/>
              <w:left w:val="nil"/>
              <w:right w:val="nil"/>
            </w:tcBorders>
          </w:tcPr>
          <w:bookmarkStart w:id="49" w:name="fig-disposition-sector"/>
          <w:p>
            <w:pPr>
              <w:pStyle w:val="Compact"/>
              <w:jc w:val="center"/>
            </w:pPr>
            <w:r>
              <w:drawing>
                <wp:inline>
                  <wp:extent cx="5372100" cy="3252075"/>
                  <wp:effectExtent b="0" l="0" r="0" t="0"/>
                  <wp:docPr descr="" title="" id="47" name="Picture"/>
                  <a:graphic>
                    <a:graphicData uri="http://schemas.openxmlformats.org/drawingml/2006/picture">
                      <pic:pic>
                        <pic:nvPicPr>
                          <pic:cNvPr descr="../figures/heatmap_disposition.png" id="48" name="Picture"/>
                          <pic:cNvPicPr>
                            <a:picLocks noChangeArrowheads="1" noChangeAspect="1"/>
                          </pic:cNvPicPr>
                        </pic:nvPicPr>
                        <pic:blipFill>
                          <a:blip r:embed="rId46"/>
                          <a:stretch>
                            <a:fillRect/>
                          </a:stretch>
                        </pic:blipFill>
                        <pic:spPr bwMode="auto">
                          <a:xfrm>
                            <a:off x="0" y="0"/>
                            <a:ext cx="5372100" cy="3252075"/>
                          </a:xfrm>
                          <a:prstGeom prst="rect">
                            <a:avLst/>
                          </a:prstGeom>
                          <a:noFill/>
                          <a:ln w="9525">
                            <a:noFill/>
                            <a:headEnd/>
                            <a:tailEnd/>
                          </a:ln>
                        </pic:spPr>
                      </pic:pic>
                    </a:graphicData>
                  </a:graphic>
                </wp:inline>
              </w:drawing>
            </w:r>
          </w:p>
          <w:p>
            <w:pPr>
              <w:jc w:val="center"/>
            </w:pPr>
            <w:pPr>
              <w:jc w:val="left"/>
              <w:spacing w:before="200"/>
              <w:pStyle w:val="ImageCaption"/>
            </w:pPr>
            <w:r>
              <w:t xml:space="preserve">Figure 4: Dispositions by sector (% of JDs in each sector)</w:t>
            </w:r>
          </w:p>
          <w:bookmarkEnd w:id="49"/>
        </w:tc>
      </w:tr>
    </w:tbl>
    <w:bookmarkEnd w:id="50"/>
    <w:bookmarkStart w:id="60" w:name="qualifications"/>
    <w:p>
      <w:pPr>
        <w:pStyle w:val="Heading1"/>
      </w:pPr>
      <w:r>
        <w:t xml:space="preserve">6. Qualifications</w:t>
      </w:r>
    </w:p>
    <w:tbl>
      <w:tblPr>
        <w:tblStyle w:val="Table"/>
        <w:tblW w:type="pct" w:w="5000"/>
        <w:tblLayout w:type="fixed"/>
        <w:tblLook w:firstRow="0" w:lastRow="0" w:firstColumn="0" w:lastColumn="0" w:noHBand="0" w:noVBand="0" w:val="0000"/>
        <w:tblBorders>
          <w:top w:val="nil"/>
          <w:bottom w:val="nil"/>
          <w:left w:val="nil"/>
          <w:right w:val="nil"/>
          <w:insideH w:val="nil"/>
          <w:insideV w:val="nil"/>
        </w:tblBorders>
      </w:tblPr>
      <w:tblGrid>
        <w:gridCol w:w="7920"/>
      </w:tblGrid>
      <w:tr>
        <w:tc>
          <w:tcPr>
            <w:tcBorders>
              <w:top w:val="nil"/>
              <w:bottom w:val="nil"/>
              <w:left w:val="nil"/>
              <w:right w:val="nil"/>
            </w:tcBorders>
          </w:tcPr>
          <w:bookmarkStart w:id="51" w:name="tbl-qualifications"/>
          <w:p>
            <w:pPr>
              <w:jc w:val="center"/>
            </w:pPr>
            <w:pPr>
              <w:jc w:val="left"/>
              <w:spacing w:before="200"/>
              <w:pStyle w:val="ImageCaption"/>
            </w:pPr>
            <w:r>
              <w:t xml:space="preserve">Table 5: Qualifications: frequency across all 57 JDs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code</w:t>
                  </w:r>
                </w:p>
              </w:tc>
              <w:tc>
                <w:tcPr/>
                <w:p>
                  <w:pPr>
                    <w:pStyle w:val="Compact"/>
                    <w:jc w:val="left"/>
                    <w:jc w:val="center"/>
                  </w:pPr>
                  <w:r>
                    <w:t xml:space="preserve">label</w:t>
                  </w:r>
                </w:p>
              </w:tc>
              <w:tc>
                <w:tcPr/>
                <w:p>
                  <w:pPr>
                    <w:pStyle w:val="Compact"/>
                    <w:jc w:val="right"/>
                    <w:jc w:val="center"/>
                  </w:pPr>
                  <w:r>
                    <w:t xml:space="preserve">n_jds</w:t>
                  </w:r>
                </w:p>
              </w:tc>
              <w:tc>
                <w:tcPr/>
                <w:p>
                  <w:pPr>
                    <w:pStyle w:val="Compact"/>
                    <w:jc w:val="right"/>
                    <w:jc w:val="center"/>
                  </w:pPr>
                  <w:r>
                    <w:t xml:space="preserve">pct_jds</w:t>
                  </w:r>
                </w:p>
              </w:tc>
            </w:tr>
            <w:tr>
              <w:tc>
                <w:tcPr/>
                <w:p>
                  <w:pPr>
                    <w:pStyle w:val="Compact"/>
                    <w:jc w:val="left"/>
                    <w:jc w:val="center"/>
                  </w:pPr>
                  <w:r>
                    <w:t xml:space="preserve">Q11</w:t>
                  </w:r>
                </w:p>
              </w:tc>
              <w:tc>
                <w:tcPr/>
                <w:p>
                  <w:pPr>
                    <w:pStyle w:val="Compact"/>
                    <w:jc w:val="left"/>
                    <w:jc w:val="center"/>
                  </w:pPr>
                  <w:r>
                    <w:t xml:space="preserve">Driver’s licence</w:t>
                  </w:r>
                </w:p>
              </w:tc>
              <w:tc>
                <w:tcPr/>
                <w:p>
                  <w:pPr>
                    <w:pStyle w:val="Compact"/>
                    <w:jc w:val="right"/>
                    <w:jc w:val="center"/>
                  </w:pPr>
                  <w:r>
                    <w:t xml:space="preserve">18</w:t>
                  </w:r>
                </w:p>
              </w:tc>
              <w:tc>
                <w:tcPr/>
                <w:p>
                  <w:pPr>
                    <w:pStyle w:val="Compact"/>
                    <w:jc w:val="right"/>
                    <w:jc w:val="center"/>
                  </w:pPr>
                  <w:r>
                    <w:t xml:space="preserve">31.6</w:t>
                  </w:r>
                </w:p>
              </w:tc>
            </w:tr>
            <w:tr>
              <w:tc>
                <w:tcPr/>
                <w:p>
                  <w:pPr>
                    <w:pStyle w:val="Compact"/>
                    <w:jc w:val="left"/>
                    <w:jc w:val="center"/>
                  </w:pPr>
                  <w:r>
                    <w:t xml:space="preserve">Q9</w:t>
                  </w:r>
                </w:p>
              </w:tc>
              <w:tc>
                <w:tcPr/>
                <w:p>
                  <w:pPr>
                    <w:pStyle w:val="Compact"/>
                    <w:jc w:val="left"/>
                    <w:jc w:val="center"/>
                  </w:pPr>
                  <w:r>
                    <w:t xml:space="preserve">Trade qualification</w:t>
                  </w:r>
                </w:p>
              </w:tc>
              <w:tc>
                <w:tcPr/>
                <w:p>
                  <w:pPr>
                    <w:pStyle w:val="Compact"/>
                    <w:jc w:val="right"/>
                    <w:jc w:val="center"/>
                  </w:pPr>
                  <w:r>
                    <w:t xml:space="preserve">17</w:t>
                  </w:r>
                </w:p>
              </w:tc>
              <w:tc>
                <w:tcPr/>
                <w:p>
                  <w:pPr>
                    <w:pStyle w:val="Compact"/>
                    <w:jc w:val="right"/>
                    <w:jc w:val="center"/>
                  </w:pPr>
                  <w:r>
                    <w:t xml:space="preserve">29.8</w:t>
                  </w:r>
                </w:p>
              </w:tc>
            </w:tr>
            <w:tr>
              <w:tc>
                <w:tcPr/>
                <w:p>
                  <w:pPr>
                    <w:pStyle w:val="Compact"/>
                    <w:jc w:val="left"/>
                    <w:jc w:val="center"/>
                  </w:pPr>
                  <w:r>
                    <w:t xml:space="preserve">Q2</w:t>
                  </w:r>
                </w:p>
              </w:tc>
              <w:tc>
                <w:tcPr/>
                <w:p>
                  <w:pPr>
                    <w:pStyle w:val="Compact"/>
                    <w:jc w:val="left"/>
                    <w:jc w:val="center"/>
                  </w:pPr>
                  <w:r>
                    <w:t xml:space="preserve">Coal Surface S1/S2/S3/G2</w:t>
                  </w:r>
                </w:p>
              </w:tc>
              <w:tc>
                <w:tcPr/>
                <w:p>
                  <w:pPr>
                    <w:pStyle w:val="Compact"/>
                    <w:jc w:val="right"/>
                    <w:jc w:val="center"/>
                  </w:pPr>
                  <w:r>
                    <w:t xml:space="preserve">12</w:t>
                  </w:r>
                </w:p>
              </w:tc>
              <w:tc>
                <w:tcPr/>
                <w:p>
                  <w:pPr>
                    <w:pStyle w:val="Compact"/>
                    <w:jc w:val="right"/>
                    <w:jc w:val="center"/>
                  </w:pPr>
                  <w:r>
                    <w:t xml:space="preserve">21.1</w:t>
                  </w:r>
                </w:p>
              </w:tc>
            </w:tr>
            <w:tr>
              <w:tc>
                <w:tcPr/>
                <w:p>
                  <w:pPr>
                    <w:pStyle w:val="Compact"/>
                    <w:jc w:val="left"/>
                    <w:jc w:val="center"/>
                  </w:pPr>
                  <w:r>
                    <w:t xml:space="preserve">Q1</w:t>
                  </w:r>
                </w:p>
              </w:tc>
              <w:tc>
                <w:tcPr/>
                <w:p>
                  <w:pPr>
                    <w:pStyle w:val="Compact"/>
                    <w:jc w:val="left"/>
                    <w:jc w:val="center"/>
                  </w:pPr>
                  <w:r>
                    <w:t xml:space="preserve">Standard 11</w:t>
                  </w:r>
                </w:p>
              </w:tc>
              <w:tc>
                <w:tcPr/>
                <w:p>
                  <w:pPr>
                    <w:pStyle w:val="Compact"/>
                    <w:jc w:val="right"/>
                    <w:jc w:val="center"/>
                  </w:pPr>
                  <w:r>
                    <w:t xml:space="preserve">11</w:t>
                  </w:r>
                </w:p>
              </w:tc>
              <w:tc>
                <w:tcPr/>
                <w:p>
                  <w:pPr>
                    <w:pStyle w:val="Compact"/>
                    <w:jc w:val="right"/>
                    <w:jc w:val="center"/>
                  </w:pPr>
                  <w:r>
                    <w:t xml:space="preserve">19.3</w:t>
                  </w:r>
                </w:p>
              </w:tc>
            </w:tr>
            <w:tr>
              <w:tc>
                <w:tcPr/>
                <w:p>
                  <w:pPr>
                    <w:pStyle w:val="Compact"/>
                    <w:jc w:val="left"/>
                    <w:jc w:val="center"/>
                  </w:pPr>
                  <w:r>
                    <w:t xml:space="preserve">Q3</w:t>
                  </w:r>
                </w:p>
              </w:tc>
              <w:tc>
                <w:tcPr/>
                <w:p>
                  <w:pPr>
                    <w:pStyle w:val="Compact"/>
                    <w:jc w:val="left"/>
                    <w:jc w:val="center"/>
                  </w:pPr>
                  <w:r>
                    <w:t xml:space="preserve">Coal UG G1/G8/G9</w:t>
                  </w:r>
                </w:p>
              </w:tc>
              <w:tc>
                <w:tcPr/>
                <w:p>
                  <w:pPr>
                    <w:pStyle w:val="Compact"/>
                    <w:jc w:val="right"/>
                    <w:jc w:val="center"/>
                  </w:pPr>
                  <w:r>
                    <w:t xml:space="preserve">8</w:t>
                  </w:r>
                </w:p>
              </w:tc>
              <w:tc>
                <w:tcPr/>
                <w:p>
                  <w:pPr>
                    <w:pStyle w:val="Compact"/>
                    <w:jc w:val="right"/>
                    <w:jc w:val="center"/>
                  </w:pPr>
                  <w:r>
                    <w:t xml:space="preserve">14</w:t>
                  </w:r>
                </w:p>
              </w:tc>
            </w:tr>
            <w:tr>
              <w:tc>
                <w:tcPr/>
                <w:p>
                  <w:pPr>
                    <w:pStyle w:val="Compact"/>
                    <w:jc w:val="left"/>
                    <w:jc w:val="center"/>
                  </w:pPr>
                  <w:r>
                    <w:t xml:space="preserve">Q5</w:t>
                  </w:r>
                </w:p>
              </w:tc>
              <w:tc>
                <w:tcPr/>
                <w:p>
                  <w:pPr>
                    <w:pStyle w:val="Compact"/>
                    <w:jc w:val="left"/>
                    <w:jc w:val="center"/>
                  </w:pPr>
                  <w:r>
                    <w:t xml:space="preserve">Minerals/Quarry QMS123/G189</w:t>
                  </w:r>
                </w:p>
              </w:tc>
              <w:tc>
                <w:tcPr/>
                <w:p>
                  <w:pPr>
                    <w:pStyle w:val="Compact"/>
                    <w:jc w:val="right"/>
                    <w:jc w:val="center"/>
                  </w:pPr>
                  <w:r>
                    <w:t xml:space="preserve">6</w:t>
                  </w:r>
                </w:p>
              </w:tc>
              <w:tc>
                <w:tcPr/>
                <w:p>
                  <w:pPr>
                    <w:pStyle w:val="Compact"/>
                    <w:jc w:val="right"/>
                    <w:jc w:val="center"/>
                  </w:pPr>
                  <w:r>
                    <w:t xml:space="preserve">10.5</w:t>
                  </w:r>
                </w:p>
              </w:tc>
            </w:tr>
            <w:tr>
              <w:tc>
                <w:tcPr/>
                <w:p>
                  <w:pPr>
                    <w:pStyle w:val="Compact"/>
                    <w:jc w:val="left"/>
                    <w:jc w:val="center"/>
                  </w:pPr>
                  <w:r>
                    <w:t xml:space="preserve">Q6</w:t>
                  </w:r>
                </w:p>
              </w:tc>
              <w:tc>
                <w:tcPr/>
                <w:p>
                  <w:pPr>
                    <w:pStyle w:val="Compact"/>
                    <w:jc w:val="left"/>
                    <w:jc w:val="center"/>
                  </w:pPr>
                  <w:r>
                    <w:t xml:space="preserve">Coal Board Medical</w:t>
                  </w:r>
                </w:p>
              </w:tc>
              <w:tc>
                <w:tcPr/>
                <w:p>
                  <w:pPr>
                    <w:pStyle w:val="Compact"/>
                    <w:jc w:val="right"/>
                    <w:jc w:val="center"/>
                  </w:pPr>
                  <w:r>
                    <w:t xml:space="preserve">6</w:t>
                  </w:r>
                </w:p>
              </w:tc>
              <w:tc>
                <w:tcPr/>
                <w:p>
                  <w:pPr>
                    <w:pStyle w:val="Compact"/>
                    <w:jc w:val="right"/>
                    <w:jc w:val="center"/>
                  </w:pPr>
                  <w:r>
                    <w:t xml:space="preserve">10.5</w:t>
                  </w:r>
                </w:p>
              </w:tc>
            </w:tr>
            <w:tr>
              <w:tc>
                <w:tcPr/>
                <w:p>
                  <w:pPr>
                    <w:pStyle w:val="Compact"/>
                    <w:jc w:val="left"/>
                    <w:jc w:val="center"/>
                  </w:pPr>
                  <w:r>
                    <w:t xml:space="preserve">Q8</w:t>
                  </w:r>
                </w:p>
              </w:tc>
              <w:tc>
                <w:tcPr/>
                <w:p>
                  <w:pPr>
                    <w:pStyle w:val="Compact"/>
                    <w:jc w:val="left"/>
                    <w:jc w:val="center"/>
                  </w:pPr>
                  <w:r>
                    <w:t xml:space="preserve">RII units (named)</w:t>
                  </w:r>
                </w:p>
              </w:tc>
              <w:tc>
                <w:tcPr/>
                <w:p>
                  <w:pPr>
                    <w:pStyle w:val="Compact"/>
                    <w:jc w:val="right"/>
                    <w:jc w:val="center"/>
                  </w:pPr>
                  <w:r>
                    <w:t xml:space="preserve">6</w:t>
                  </w:r>
                </w:p>
              </w:tc>
              <w:tc>
                <w:tcPr/>
                <w:p>
                  <w:pPr>
                    <w:pStyle w:val="Compact"/>
                    <w:jc w:val="right"/>
                    <w:jc w:val="center"/>
                  </w:pPr>
                  <w:r>
                    <w:t xml:space="preserve">10.5</w:t>
                  </w:r>
                </w:p>
              </w:tc>
            </w:tr>
            <w:tr>
              <w:tc>
                <w:tcPr/>
                <w:p>
                  <w:pPr>
                    <w:pStyle w:val="Compact"/>
                    <w:jc w:val="left"/>
                    <w:jc w:val="center"/>
                  </w:pPr>
                  <w:r>
                    <w:t xml:space="preserve">Q7</w:t>
                  </w:r>
                </w:p>
              </w:tc>
              <w:tc>
                <w:tcPr/>
                <w:p>
                  <w:pPr>
                    <w:pStyle w:val="Compact"/>
                    <w:jc w:val="left"/>
                    <w:jc w:val="center"/>
                  </w:pPr>
                  <w:r>
                    <w:t xml:space="preserve">First Aid</w:t>
                  </w:r>
                </w:p>
              </w:tc>
              <w:tc>
                <w:tcPr/>
                <w:p>
                  <w:pPr>
                    <w:pStyle w:val="Compact"/>
                    <w:jc w:val="right"/>
                    <w:jc w:val="center"/>
                  </w:pPr>
                  <w:r>
                    <w:t xml:space="preserve">5</w:t>
                  </w:r>
                </w:p>
              </w:tc>
              <w:tc>
                <w:tcPr/>
                <w:p>
                  <w:pPr>
                    <w:pStyle w:val="Compact"/>
                    <w:jc w:val="right"/>
                    <w:jc w:val="center"/>
                  </w:pPr>
                  <w:r>
                    <w:t xml:space="preserve">8.8</w:t>
                  </w:r>
                </w:p>
              </w:tc>
            </w:tr>
            <w:tr>
              <w:tc>
                <w:tcPr/>
                <w:p>
                  <w:pPr>
                    <w:pStyle w:val="Compact"/>
                    <w:jc w:val="left"/>
                    <w:jc w:val="center"/>
                  </w:pPr>
                  <w:r>
                    <w:t xml:space="preserve">Q12</w:t>
                  </w:r>
                </w:p>
              </w:tc>
              <w:tc>
                <w:tcPr/>
                <w:p>
                  <w:pPr>
                    <w:pStyle w:val="Compact"/>
                    <w:jc w:val="left"/>
                    <w:jc w:val="center"/>
                  </w:pPr>
                  <w:r>
                    <w:t xml:space="preserve">High Risk Work Licences</w:t>
                  </w:r>
                </w:p>
              </w:tc>
              <w:tc>
                <w:tcPr/>
                <w:p>
                  <w:pPr>
                    <w:pStyle w:val="Compact"/>
                    <w:jc w:val="right"/>
                    <w:jc w:val="center"/>
                  </w:pPr>
                  <w:r>
                    <w:t xml:space="preserve">4</w:t>
                  </w:r>
                </w:p>
              </w:tc>
              <w:tc>
                <w:tcPr/>
                <w:p>
                  <w:pPr>
                    <w:pStyle w:val="Compact"/>
                    <w:jc w:val="right"/>
                    <w:jc w:val="center"/>
                  </w:pPr>
                  <w:r>
                    <w:t xml:space="preserve">7</w:t>
                  </w:r>
                </w:p>
              </w:tc>
            </w:tr>
            <w:tr>
              <w:tc>
                <w:tcPr/>
                <w:p>
                  <w:pPr>
                    <w:pStyle w:val="Compact"/>
                    <w:jc w:val="left"/>
                    <w:jc w:val="center"/>
                  </w:pPr>
                  <w:r>
                    <w:t xml:space="preserve">Q10</w:t>
                  </w:r>
                </w:p>
              </w:tc>
              <w:tc>
                <w:tcPr/>
                <w:p>
                  <w:pPr>
                    <w:pStyle w:val="Compact"/>
                    <w:jc w:val="left"/>
                    <w:jc w:val="center"/>
                  </w:pPr>
                  <w:r>
                    <w:t xml:space="preserve">Engineering tertiary</w:t>
                  </w:r>
                </w:p>
              </w:tc>
              <w:tc>
                <w:tcPr/>
                <w:p>
                  <w:pPr>
                    <w:pStyle w:val="Compact"/>
                    <w:jc w:val="right"/>
                    <w:jc w:val="center"/>
                  </w:pPr>
                  <w:r>
                    <w:t xml:space="preserve">3</w:t>
                  </w:r>
                </w:p>
              </w:tc>
              <w:tc>
                <w:tcPr/>
                <w:p>
                  <w:pPr>
                    <w:pStyle w:val="Compact"/>
                    <w:jc w:val="right"/>
                    <w:jc w:val="center"/>
                  </w:pPr>
                  <w:r>
                    <w:t xml:space="preserve">5.3</w:t>
                  </w:r>
                </w:p>
              </w:tc>
            </w:tr>
            <w:tr>
              <w:tc>
                <w:tcPr/>
                <w:p>
                  <w:pPr>
                    <w:pStyle w:val="Compact"/>
                    <w:jc w:val="left"/>
                    <w:jc w:val="center"/>
                  </w:pPr>
                  <w:r>
                    <w:t xml:space="preserve">Q4</w:t>
                  </w:r>
                </w:p>
              </w:tc>
              <w:tc>
                <w:tcPr/>
                <w:p>
                  <w:pPr>
                    <w:pStyle w:val="Compact"/>
                    <w:jc w:val="left"/>
                    <w:jc w:val="center"/>
                  </w:pPr>
                  <w:r>
                    <w:t xml:space="preserve">OCE</w:t>
                  </w:r>
                </w:p>
              </w:tc>
              <w:tc>
                <w:tcPr/>
                <w:p>
                  <w:pPr>
                    <w:pStyle w:val="Compact"/>
                    <w:jc w:val="right"/>
                    <w:jc w:val="center"/>
                  </w:pPr>
                  <w:r>
                    <w:t xml:space="preserve">3</w:t>
                  </w:r>
                </w:p>
              </w:tc>
              <w:tc>
                <w:tcPr/>
                <w:p>
                  <w:pPr>
                    <w:pStyle w:val="Compact"/>
                    <w:jc w:val="right"/>
                    <w:jc w:val="center"/>
                  </w:pPr>
                  <w:r>
                    <w:t xml:space="preserve">5.3</w:t>
                  </w:r>
                </w:p>
              </w:tc>
            </w:tr>
            <w:tr>
              <w:tc>
                <w:tcPr/>
                <w:p>
                  <w:pPr>
                    <w:pStyle w:val="Compact"/>
                    <w:jc w:val="left"/>
                    <w:jc w:val="center"/>
                  </w:pPr>
                  <w:r>
                    <w:t xml:space="preserve">Q17</w:t>
                  </w:r>
                </w:p>
              </w:tc>
              <w:tc>
                <w:tcPr/>
                <w:p>
                  <w:pPr>
                    <w:pStyle w:val="Compact"/>
                    <w:jc w:val="left"/>
                    <w:jc w:val="center"/>
                  </w:pPr>
                  <w:r>
                    <w:t xml:space="preserve">VOC for equipment</w:t>
                  </w:r>
                </w:p>
              </w:tc>
              <w:tc>
                <w:tcPr/>
                <w:p>
                  <w:pPr>
                    <w:pStyle w:val="Compact"/>
                    <w:jc w:val="right"/>
                    <w:jc w:val="center"/>
                  </w:pPr>
                  <w:r>
                    <w:t xml:space="preserve">3</w:t>
                  </w:r>
                </w:p>
              </w:tc>
              <w:tc>
                <w:tcPr/>
                <w:p>
                  <w:pPr>
                    <w:pStyle w:val="Compact"/>
                    <w:jc w:val="right"/>
                    <w:jc w:val="center"/>
                  </w:pPr>
                  <w:r>
                    <w:t xml:space="preserve">5.3</w:t>
                  </w:r>
                </w:p>
              </w:tc>
            </w:tr>
            <w:tr>
              <w:tc>
                <w:tcPr/>
                <w:p>
                  <w:pPr>
                    <w:pStyle w:val="Compact"/>
                    <w:jc w:val="left"/>
                    <w:jc w:val="center"/>
                  </w:pPr>
                  <w:r>
                    <w:t xml:space="preserve">Q18</w:t>
                  </w:r>
                </w:p>
              </w:tc>
              <w:tc>
                <w:tcPr/>
                <w:p>
                  <w:pPr>
                    <w:pStyle w:val="Compact"/>
                    <w:jc w:val="left"/>
                    <w:jc w:val="center"/>
                  </w:pPr>
                  <w:r>
                    <w:t xml:space="preserve">Cert IV TAE</w:t>
                  </w:r>
                </w:p>
              </w:tc>
              <w:tc>
                <w:tcPr/>
                <w:p>
                  <w:pPr>
                    <w:pStyle w:val="Compact"/>
                    <w:jc w:val="right"/>
                    <w:jc w:val="center"/>
                  </w:pPr>
                  <w:r>
                    <w:t xml:space="preserve">3</w:t>
                  </w:r>
                </w:p>
              </w:tc>
              <w:tc>
                <w:tcPr/>
                <w:p>
                  <w:pPr>
                    <w:pStyle w:val="Compact"/>
                    <w:jc w:val="right"/>
                    <w:jc w:val="center"/>
                  </w:pPr>
                  <w:r>
                    <w:t xml:space="preserve">5.3</w:t>
                  </w:r>
                </w:p>
              </w:tc>
            </w:tr>
            <w:tr>
              <w:tc>
                <w:tcPr/>
                <w:p>
                  <w:pPr>
                    <w:pStyle w:val="Compact"/>
                    <w:jc w:val="left"/>
                    <w:jc w:val="center"/>
                  </w:pPr>
                  <w:r>
                    <w:t xml:space="preserve">Q14</w:t>
                  </w:r>
                </w:p>
              </w:tc>
              <w:tc>
                <w:tcPr/>
                <w:p>
                  <w:pPr>
                    <w:pStyle w:val="Compact"/>
                    <w:jc w:val="left"/>
                    <w:jc w:val="center"/>
                  </w:pPr>
                  <w:r>
                    <w:t xml:space="preserve">MSIC</w:t>
                  </w:r>
                </w:p>
              </w:tc>
              <w:tc>
                <w:tcPr/>
                <w:p>
                  <w:pPr>
                    <w:pStyle w:val="Compact"/>
                    <w:jc w:val="right"/>
                    <w:jc w:val="center"/>
                  </w:pPr>
                  <w:r>
                    <w:t xml:space="preserve">2</w:t>
                  </w:r>
                </w:p>
              </w:tc>
              <w:tc>
                <w:tcPr/>
                <w:p>
                  <w:pPr>
                    <w:pStyle w:val="Compact"/>
                    <w:jc w:val="right"/>
                    <w:jc w:val="center"/>
                  </w:pPr>
                  <w:r>
                    <w:t xml:space="preserve">3.5</w:t>
                  </w:r>
                </w:p>
              </w:tc>
            </w:tr>
            <w:tr>
              <w:tc>
                <w:tcPr/>
                <w:p>
                  <w:pPr>
                    <w:pStyle w:val="Compact"/>
                    <w:jc w:val="left"/>
                    <w:jc w:val="center"/>
                  </w:pPr>
                  <w:r>
                    <w:t xml:space="preserve">Q16</w:t>
                  </w:r>
                </w:p>
              </w:tc>
              <w:tc>
                <w:tcPr/>
                <w:p>
                  <w:pPr>
                    <w:pStyle w:val="Compact"/>
                    <w:jc w:val="left"/>
                    <w:jc w:val="center"/>
                  </w:pPr>
                  <w:r>
                    <w:t xml:space="preserve">Generic Site Induction</w:t>
                  </w:r>
                </w:p>
              </w:tc>
              <w:tc>
                <w:tcPr/>
                <w:p>
                  <w:pPr>
                    <w:pStyle w:val="Compact"/>
                    <w:jc w:val="right"/>
                    <w:jc w:val="center"/>
                  </w:pPr>
                  <w:r>
                    <w:t xml:space="preserve">2</w:t>
                  </w:r>
                </w:p>
              </w:tc>
              <w:tc>
                <w:tcPr/>
                <w:p>
                  <w:pPr>
                    <w:pStyle w:val="Compact"/>
                    <w:jc w:val="right"/>
                    <w:jc w:val="center"/>
                  </w:pPr>
                  <w:r>
                    <w:t xml:space="preserve">3.5</w:t>
                  </w:r>
                </w:p>
              </w:tc>
            </w:tr>
            <w:tr>
              <w:tc>
                <w:tcPr/>
                <w:p>
                  <w:pPr>
                    <w:pStyle w:val="Compact"/>
                    <w:jc w:val="left"/>
                    <w:jc w:val="center"/>
                  </w:pPr>
                  <w:r>
                    <w:t xml:space="preserve">Q13</w:t>
                  </w:r>
                </w:p>
              </w:tc>
              <w:tc>
                <w:tcPr/>
                <w:p>
                  <w:pPr>
                    <w:pStyle w:val="Compact"/>
                    <w:jc w:val="left"/>
                    <w:jc w:val="center"/>
                  </w:pPr>
                  <w:r>
                    <w:t xml:space="preserve">White Card</w:t>
                  </w:r>
                </w:p>
              </w:tc>
              <w:tc>
                <w:tcPr/>
                <w:p>
                  <w:pPr>
                    <w:pStyle w:val="Compact"/>
                    <w:jc w:val="right"/>
                    <w:jc w:val="center"/>
                  </w:pPr>
                  <w:r>
                    <w:t xml:space="preserve">1</w:t>
                  </w:r>
                </w:p>
              </w:tc>
              <w:tc>
                <w:tcPr/>
                <w:p>
                  <w:pPr>
                    <w:pStyle w:val="Compact"/>
                    <w:jc w:val="right"/>
                    <w:jc w:val="center"/>
                  </w:pPr>
                  <w:r>
                    <w:t xml:space="preserve">1.8</w:t>
                  </w:r>
                </w:p>
              </w:tc>
            </w:tr>
            <w:tr>
              <w:tc>
                <w:tcPr/>
                <w:p>
                  <w:pPr>
                    <w:pStyle w:val="Compact"/>
                    <w:jc w:val="left"/>
                    <w:jc w:val="center"/>
                  </w:pPr>
                  <w:r>
                    <w:t xml:space="preserve">Q15</w:t>
                  </w:r>
                </w:p>
              </w:tc>
              <w:tc>
                <w:tcPr/>
                <w:p>
                  <w:pPr>
                    <w:pStyle w:val="Compact"/>
                    <w:jc w:val="left"/>
                    <w:jc w:val="center"/>
                  </w:pPr>
                  <w:r>
                    <w:t xml:space="preserve">Explosives Security Clearance</w:t>
                  </w:r>
                </w:p>
              </w:tc>
              <w:tc>
                <w:tcPr/>
                <w:p>
                  <w:pPr>
                    <w:pStyle w:val="Compact"/>
                    <w:jc w:val="right"/>
                    <w:jc w:val="center"/>
                  </w:pPr>
                  <w:r>
                    <w:t xml:space="preserve">1</w:t>
                  </w:r>
                </w:p>
              </w:tc>
              <w:tc>
                <w:tcPr/>
                <w:p>
                  <w:pPr>
                    <w:pStyle w:val="Compact"/>
                    <w:jc w:val="right"/>
                    <w:jc w:val="center"/>
                  </w:pPr>
                  <w:r>
                    <w:t xml:space="preserve">1.8</w:t>
                  </w:r>
                </w:p>
              </w:tc>
            </w:tr>
            <w:tr>
              <w:tc>
                <w:tcPr/>
                <w:p>
                  <w:pPr>
                    <w:pStyle w:val="Compact"/>
                    <w:jc w:val="left"/>
                    <w:jc w:val="center"/>
                  </w:pPr>
                  <w:r>
                    <w:t xml:space="preserve">Q20</w:t>
                  </w:r>
                </w:p>
              </w:tc>
              <w:tc>
                <w:tcPr/>
                <w:p>
                  <w:pPr>
                    <w:pStyle w:val="Compact"/>
                    <w:jc w:val="left"/>
                    <w:jc w:val="center"/>
                  </w:pPr>
                  <w:r>
                    <w:t xml:space="preserve">Shotfirer accreditation</w:t>
                  </w:r>
                </w:p>
              </w:tc>
              <w:tc>
                <w:tcPr/>
                <w:p>
                  <w:pPr>
                    <w:pStyle w:val="Compact"/>
                    <w:jc w:val="right"/>
                    <w:jc w:val="center"/>
                  </w:pPr>
                  <w:r>
                    <w:t xml:space="preserve">1</w:t>
                  </w:r>
                </w:p>
              </w:tc>
              <w:tc>
                <w:tcPr/>
                <w:p>
                  <w:pPr>
                    <w:pStyle w:val="Compact"/>
                    <w:jc w:val="right"/>
                    <w:jc w:val="center"/>
                  </w:pPr>
                  <w:r>
                    <w:t xml:space="preserve">1.8</w:t>
                  </w:r>
                </w:p>
              </w:tc>
            </w:tr>
            <w:tr>
              <w:tc>
                <w:tcPr/>
                <w:p>
                  <w:pPr>
                    <w:pStyle w:val="Compact"/>
                    <w:jc w:val="left"/>
                    <w:jc w:val="center"/>
                  </w:pPr>
                  <w:r>
                    <w:t xml:space="preserve">Q19</w:t>
                  </w:r>
                </w:p>
              </w:tc>
              <w:tc>
                <w:tcPr/>
                <w:p>
                  <w:pPr>
                    <w:pStyle w:val="Compact"/>
                    <w:jc w:val="left"/>
                    <w:jc w:val="center"/>
                  </w:pPr>
                  <w:r>
                    <w:t xml:space="preserve">Frontline Management</w:t>
                  </w:r>
                </w:p>
              </w:tc>
              <w:tc>
                <w:tcPr/>
                <w:p>
                  <w:pPr>
                    <w:pStyle w:val="Compact"/>
                    <w:jc w:val="right"/>
                    <w:jc w:val="center"/>
                  </w:pPr>
                  <w:r>
                    <w:t xml:space="preserve">1</w:t>
                  </w:r>
                </w:p>
              </w:tc>
              <w:tc>
                <w:tcPr/>
                <w:p>
                  <w:pPr>
                    <w:pStyle w:val="Compact"/>
                    <w:jc w:val="right"/>
                    <w:jc w:val="center"/>
                  </w:pPr>
                  <w:r>
                    <w:t xml:space="preserve">1.8</w:t>
                  </w:r>
                </w:p>
              </w:tc>
            </w:tr>
          </w:tbl>
          <w:bookmarkEnd w:id="51"/>
          <w:p/>
        </w:tc>
      </w:tr>
    </w:tbl>
    <w:p>
      <w:pPr>
        <w:pStyle w:val="BodyText"/>
      </w:pPr>
      <w:r>
        <w:t xml:space="preserve"> </w:t>
      </w:r>
    </w:p>
    <w:tbl>
      <w:tblPr>
        <w:tblStyle w:val="Table"/>
        <w:tblW w:type="pct" w:w="5000"/>
        <w:tblLayout w:type="fixed"/>
        <w:tblLook w:firstRow="0" w:lastRow="0" w:firstColumn="0" w:lastColumn="0" w:noHBand="0" w:noVBand="0" w:val="0000"/>
        <w:tblBorders>
          <w:top w:val="nil"/>
          <w:bottom w:val="nil"/>
          <w:left w:val="nil"/>
          <w:right w:val="nil"/>
          <w:insideH w:val="nil"/>
          <w:insideV w:val="nil"/>
        </w:tblBorders>
      </w:tblPr>
      <w:tblGrid>
        <w:gridCol w:w="7920"/>
      </w:tblGrid>
      <w:tr>
        <w:tc>
          <w:tcPr>
            <w:tcBorders>
              <w:top w:val="nil"/>
              <w:bottom w:val="nil"/>
              <w:left w:val="nil"/>
              <w:right w:val="nil"/>
            </w:tcBorders>
          </w:tcPr>
          <w:bookmarkStart w:id="55" w:name="fig-qualifications"/>
          <w:p>
            <w:pPr>
              <w:pStyle w:val="Compact"/>
              <w:jc w:val="center"/>
            </w:pPr>
            <w:r>
              <w:drawing>
                <wp:inline>
                  <wp:extent cx="5073650" cy="2702530"/>
                  <wp:effectExtent b="0" l="0" r="0" t="0"/>
                  <wp:docPr descr="" title="" id="53" name="Picture"/>
                  <a:graphic>
                    <a:graphicData uri="http://schemas.openxmlformats.org/drawingml/2006/picture">
                      <pic:pic>
                        <pic:nvPicPr>
                          <pic:cNvPr descr="../figures/top_qualifications.png" id="54" name="Picture"/>
                          <pic:cNvPicPr>
                            <a:picLocks noChangeArrowheads="1" noChangeAspect="1"/>
                          </pic:cNvPicPr>
                        </pic:nvPicPr>
                        <pic:blipFill>
                          <a:blip r:embed="rId52"/>
                          <a:stretch>
                            <a:fillRect/>
                          </a:stretch>
                        </pic:blipFill>
                        <pic:spPr bwMode="auto">
                          <a:xfrm>
                            <a:off x="0" y="0"/>
                            <a:ext cx="5073650" cy="270253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Top qualifications across 57 JDs</w:t>
            </w:r>
          </w:p>
          <w:bookmarkEnd w:id="55"/>
        </w:tc>
      </w:tr>
    </w:tbl>
    <w:p>
      <w:pPr>
        <w:pStyle w:val="BodyText"/>
      </w:pPr>
      <w:r>
        <w:rPr>
          <w:b/>
          <w:bCs/>
        </w:rPr>
        <w:t xml:space="preserve">Observations:</w:t>
      </w:r>
    </w:p>
    <w:p>
      <w:pPr>
        <w:pStyle w:val="Compact"/>
        <w:numPr>
          <w:ilvl w:val="0"/>
          <w:numId w:val="1007"/>
        </w:numPr>
      </w:pPr>
      <w:r>
        <w:t xml:space="preserve">Driver’s licence (Q11) appears in 18 JDs (32%), the most-named formal credential in the corpus.</w:t>
      </w:r>
    </w:p>
    <w:p>
      <w:pPr>
        <w:pStyle w:val="Compact"/>
        <w:numPr>
          <w:ilvl w:val="0"/>
          <w:numId w:val="1007"/>
        </w:numPr>
      </w:pPr>
      <w:r>
        <w:t xml:space="preserve">Trade qualification (Q9) appears in 17 JDs (30%).</w:t>
      </w:r>
    </w:p>
    <w:p>
      <w:pPr>
        <w:pStyle w:val="Compact"/>
        <w:numPr>
          <w:ilvl w:val="0"/>
          <w:numId w:val="1007"/>
        </w:numPr>
      </w:pPr>
      <w:r>
        <w:t xml:space="preserve">Standard 11 (Q1) appears in 11 JDs (19%) and the Coal Surface statutory ticket set S1/S2/S3/G2 (Q2) in 12 JDs (21%).</w:t>
      </w:r>
    </w:p>
    <w:p>
      <w:pPr>
        <w:pStyle w:val="Compact"/>
        <w:numPr>
          <w:ilvl w:val="0"/>
          <w:numId w:val="1007"/>
        </w:numPr>
      </w:pPr>
      <w:r>
        <w:t xml:space="preserve">Coal Underground supervisor competencies (Q3, G1/G8/G9 with G2) appear in 8 JDs (14%).</w:t>
      </w:r>
    </w:p>
    <w:p>
      <w:pPr>
        <w:pStyle w:val="Compact"/>
        <w:numPr>
          <w:ilvl w:val="0"/>
          <w:numId w:val="1007"/>
        </w:numPr>
      </w:pPr>
      <w:r>
        <w:t xml:space="preserve">Minerals and Quarry supervisor competencies QMS123/G189 (Q5) appear in 6 JDs (10%).</w:t>
      </w:r>
    </w:p>
    <w:p>
      <w:pPr>
        <w:pStyle w:val="Compact"/>
        <w:numPr>
          <w:ilvl w:val="0"/>
          <w:numId w:val="1007"/>
        </w:numPr>
      </w:pPr>
      <w:r>
        <w:t xml:space="preserve">Open Cut Examiner (Q4) is explicitly named in 3 JDs (5%): Foxleigh Mine, Golding OCE Kogan, and Anglo Production Supervisor Dawson (listed as desirable).</w:t>
      </w:r>
    </w:p>
    <w:p>
      <w:pPr>
        <w:pStyle w:val="Compact"/>
        <w:numPr>
          <w:ilvl w:val="0"/>
          <w:numId w:val="1007"/>
        </w:numPr>
      </w:pPr>
      <w:r>
        <w:t xml:space="preserve">High Risk Work Licences (Q12) appear in 4 JDs (7%); Cert IV in Training and Assessment (Q18) in 3 JDs (5%); MSIC (Q14), Generic Site Induction (Q16) and Engineering tertiary (Q10) each in 2-3 JDs.</w:t>
      </w:r>
    </w:p>
    <w:p>
      <w:pPr>
        <w:pStyle w:val="Compact"/>
        <w:numPr>
          <w:ilvl w:val="0"/>
          <w:numId w:val="1007"/>
        </w:numPr>
      </w:pPr>
      <w:r>
        <w:t xml:space="preserve">Niche credentials each appearing in 1 JD: White Card (Q13), Explosives Security Clearance (Q15), Shotfirer accreditation (Q20), and Frontline Management certification (Q19).</w:t>
      </w:r>
    </w:p>
    <w:tbl>
      <w:tblPr>
        <w:tblStyle w:val="Table"/>
        <w:tblW w:type="pct" w:w="5000"/>
        <w:tblLayout w:type="fixed"/>
        <w:tblLook w:firstRow="0" w:lastRow="0" w:firstColumn="0" w:lastColumn="0" w:noHBand="0" w:noVBand="0" w:val="0000"/>
        <w:tblBorders>
          <w:top w:val="nil"/>
          <w:bottom w:val="nil"/>
          <w:left w:val="nil"/>
          <w:right w:val="nil"/>
          <w:insideH w:val="nil"/>
          <w:insideV w:val="nil"/>
        </w:tblBorders>
      </w:tblPr>
      <w:tblGrid>
        <w:gridCol w:w="7920"/>
      </w:tblGrid>
      <w:tr>
        <w:tc>
          <w:tcPr>
            <w:tcBorders>
              <w:top w:val="nil"/>
              <w:bottom w:val="nil"/>
              <w:left w:val="nil"/>
              <w:right w:val="nil"/>
            </w:tcBorders>
          </w:tcPr>
          <w:bookmarkStart w:id="59" w:name="fig-qualifications-sector"/>
          <w:p>
            <w:pPr>
              <w:pStyle w:val="Compact"/>
              <w:jc w:val="center"/>
            </w:pPr>
            <w:r>
              <w:drawing>
                <wp:inline>
                  <wp:extent cx="5372100" cy="3274659"/>
                  <wp:effectExtent b="0" l="0" r="0" t="0"/>
                  <wp:docPr descr="" title="" id="57" name="Picture"/>
                  <a:graphic>
                    <a:graphicData uri="http://schemas.openxmlformats.org/drawingml/2006/picture">
                      <pic:pic>
                        <pic:nvPicPr>
                          <pic:cNvPr descr="../figures/heatmap_qualifications.png" id="58" name="Picture"/>
                          <pic:cNvPicPr>
                            <a:picLocks noChangeArrowheads="1" noChangeAspect="1"/>
                          </pic:cNvPicPr>
                        </pic:nvPicPr>
                        <pic:blipFill>
                          <a:blip r:embed="rId56"/>
                          <a:stretch>
                            <a:fillRect/>
                          </a:stretch>
                        </pic:blipFill>
                        <pic:spPr bwMode="auto">
                          <a:xfrm>
                            <a:off x="0" y="0"/>
                            <a:ext cx="5372100" cy="3274659"/>
                          </a:xfrm>
                          <a:prstGeom prst="rect">
                            <a:avLst/>
                          </a:prstGeom>
                          <a:noFill/>
                          <a:ln w="9525">
                            <a:noFill/>
                            <a:headEnd/>
                            <a:tailEnd/>
                          </a:ln>
                        </pic:spPr>
                      </pic:pic>
                    </a:graphicData>
                  </a:graphic>
                </wp:inline>
              </w:drawing>
            </w:r>
          </w:p>
          <w:p>
            <w:pPr>
              <w:jc w:val="center"/>
            </w:pPr>
            <w:pPr>
              <w:jc w:val="left"/>
              <w:spacing w:before="200"/>
              <w:pStyle w:val="ImageCaption"/>
            </w:pPr>
            <w:r>
              <w:t xml:space="preserve">Figure 6: Qualifications by sector (% of JDs in each sector)</w:t>
            </w:r>
          </w:p>
          <w:bookmarkEnd w:id="59"/>
        </w:tc>
      </w:tr>
    </w:tbl>
    <w:bookmarkEnd w:id="60"/>
    <w:bookmarkStart w:id="70" w:name="knowledge"/>
    <w:p>
      <w:pPr>
        <w:pStyle w:val="Heading1"/>
      </w:pPr>
      <w:r>
        <w:t xml:space="preserve">7. Knowledge</w:t>
      </w:r>
    </w:p>
    <w:tbl>
      <w:tblPr>
        <w:tblStyle w:val="Table"/>
        <w:tblW w:type="pct" w:w="5000"/>
        <w:tblLayout w:type="fixed"/>
        <w:tblLook w:firstRow="0" w:lastRow="0" w:firstColumn="0" w:lastColumn="0" w:noHBand="0" w:noVBand="0" w:val="0000"/>
        <w:tblBorders>
          <w:top w:val="nil"/>
          <w:bottom w:val="nil"/>
          <w:left w:val="nil"/>
          <w:right w:val="nil"/>
          <w:insideH w:val="nil"/>
          <w:insideV w:val="nil"/>
        </w:tblBorders>
      </w:tblPr>
      <w:tblGrid>
        <w:gridCol w:w="7920"/>
      </w:tblGrid>
      <w:tr>
        <w:tc>
          <w:tcPr>
            <w:tcBorders>
              <w:top w:val="nil"/>
              <w:bottom w:val="nil"/>
              <w:left w:val="nil"/>
              <w:right w:val="nil"/>
            </w:tcBorders>
          </w:tcPr>
          <w:bookmarkStart w:id="61" w:name="tbl-knowledge"/>
          <w:p>
            <w:pPr>
              <w:jc w:val="center"/>
            </w:pPr>
            <w:pPr>
              <w:jc w:val="left"/>
              <w:spacing w:before="200"/>
              <w:pStyle w:val="ImageCaption"/>
            </w:pPr>
            <w:r>
              <w:t xml:space="preserve">Table 6: Knowledge codes: frequency across all 57 JDs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code</w:t>
                  </w:r>
                </w:p>
              </w:tc>
              <w:tc>
                <w:tcPr/>
                <w:p>
                  <w:pPr>
                    <w:pStyle w:val="Compact"/>
                    <w:jc w:val="left"/>
                    <w:jc w:val="center"/>
                  </w:pPr>
                  <w:r>
                    <w:t xml:space="preserve">label</w:t>
                  </w:r>
                </w:p>
              </w:tc>
              <w:tc>
                <w:tcPr/>
                <w:p>
                  <w:pPr>
                    <w:pStyle w:val="Compact"/>
                    <w:jc w:val="right"/>
                    <w:jc w:val="center"/>
                  </w:pPr>
                  <w:r>
                    <w:t xml:space="preserve">n_jds</w:t>
                  </w:r>
                </w:p>
              </w:tc>
              <w:tc>
                <w:tcPr/>
                <w:p>
                  <w:pPr>
                    <w:pStyle w:val="Compact"/>
                    <w:jc w:val="right"/>
                    <w:jc w:val="center"/>
                  </w:pPr>
                  <w:r>
                    <w:t xml:space="preserve">pct_jds</w:t>
                  </w:r>
                </w:p>
              </w:tc>
            </w:tr>
            <w:tr>
              <w:tc>
                <w:tcPr/>
                <w:p>
                  <w:pPr>
                    <w:pStyle w:val="Compact"/>
                    <w:jc w:val="left"/>
                    <w:jc w:val="center"/>
                  </w:pPr>
                  <w:r>
                    <w:t xml:space="preserve">K5</w:t>
                  </w:r>
                </w:p>
              </w:tc>
              <w:tc>
                <w:tcPr/>
                <w:p>
                  <w:pPr>
                    <w:pStyle w:val="Compact"/>
                    <w:jc w:val="left"/>
                    <w:jc w:val="center"/>
                  </w:pPr>
                  <w:r>
                    <w:t xml:space="preserve">Operational systems / software</w:t>
                  </w:r>
                </w:p>
              </w:tc>
              <w:tc>
                <w:tcPr/>
                <w:p>
                  <w:pPr>
                    <w:pStyle w:val="Compact"/>
                    <w:jc w:val="right"/>
                    <w:jc w:val="center"/>
                  </w:pPr>
                  <w:r>
                    <w:t xml:space="preserve">19</w:t>
                  </w:r>
                </w:p>
              </w:tc>
              <w:tc>
                <w:tcPr/>
                <w:p>
                  <w:pPr>
                    <w:pStyle w:val="Compact"/>
                    <w:jc w:val="right"/>
                    <w:jc w:val="center"/>
                  </w:pPr>
                  <w:r>
                    <w:t xml:space="preserve">33.3</w:t>
                  </w:r>
                </w:p>
              </w:tc>
            </w:tr>
            <w:tr>
              <w:tc>
                <w:tcPr/>
                <w:p>
                  <w:pPr>
                    <w:pStyle w:val="Compact"/>
                    <w:jc w:val="left"/>
                    <w:jc w:val="center"/>
                  </w:pPr>
                  <w:r>
                    <w:t xml:space="preserve">K4</w:t>
                  </w:r>
                </w:p>
              </w:tc>
              <w:tc>
                <w:tcPr/>
                <w:p>
                  <w:pPr>
                    <w:pStyle w:val="Compact"/>
                    <w:jc w:val="left"/>
                    <w:jc w:val="center"/>
                  </w:pPr>
                  <w:r>
                    <w:t xml:space="preserve">Equipment / plant knowledge</w:t>
                  </w:r>
                </w:p>
              </w:tc>
              <w:tc>
                <w:tcPr/>
                <w:p>
                  <w:pPr>
                    <w:pStyle w:val="Compact"/>
                    <w:jc w:val="right"/>
                    <w:jc w:val="center"/>
                  </w:pPr>
                  <w:r>
                    <w:t xml:space="preserve">12</w:t>
                  </w:r>
                </w:p>
              </w:tc>
              <w:tc>
                <w:tcPr/>
                <w:p>
                  <w:pPr>
                    <w:pStyle w:val="Compact"/>
                    <w:jc w:val="right"/>
                    <w:jc w:val="center"/>
                  </w:pPr>
                  <w:r>
                    <w:t xml:space="preserve">21.1</w:t>
                  </w:r>
                </w:p>
              </w:tc>
            </w:tr>
            <w:tr>
              <w:tc>
                <w:tcPr/>
                <w:p>
                  <w:pPr>
                    <w:pStyle w:val="Compact"/>
                    <w:jc w:val="left"/>
                    <w:jc w:val="center"/>
                  </w:pPr>
                  <w:r>
                    <w:t xml:space="preserve">K1</w:t>
                  </w:r>
                </w:p>
              </w:tc>
              <w:tc>
                <w:tcPr/>
                <w:p>
                  <w:pPr>
                    <w:pStyle w:val="Compact"/>
                    <w:jc w:val="left"/>
                    <w:jc w:val="center"/>
                  </w:pPr>
                  <w:r>
                    <w:t xml:space="preserve">QLD CMSHA knowledge</w:t>
                  </w:r>
                </w:p>
              </w:tc>
              <w:tc>
                <w:tcPr/>
                <w:p>
                  <w:pPr>
                    <w:pStyle w:val="Compact"/>
                    <w:jc w:val="right"/>
                    <w:jc w:val="center"/>
                  </w:pPr>
                  <w:r>
                    <w:t xml:space="preserve">8</w:t>
                  </w:r>
                </w:p>
              </w:tc>
              <w:tc>
                <w:tcPr/>
                <w:p>
                  <w:pPr>
                    <w:pStyle w:val="Compact"/>
                    <w:jc w:val="right"/>
                    <w:jc w:val="center"/>
                  </w:pPr>
                  <w:r>
                    <w:t xml:space="preserve">14</w:t>
                  </w:r>
                </w:p>
              </w:tc>
            </w:tr>
            <w:tr>
              <w:tc>
                <w:tcPr/>
                <w:p>
                  <w:pPr>
                    <w:pStyle w:val="Compact"/>
                    <w:jc w:val="left"/>
                    <w:jc w:val="center"/>
                  </w:pPr>
                  <w:r>
                    <w:t xml:space="preserve">K8</w:t>
                  </w:r>
                </w:p>
              </w:tc>
              <w:tc>
                <w:tcPr/>
                <w:p>
                  <w:pPr>
                    <w:pStyle w:val="Compact"/>
                    <w:jc w:val="left"/>
                    <w:jc w:val="center"/>
                  </w:pPr>
                  <w:r>
                    <w:t xml:space="preserve">Sector technical knowledge</w:t>
                  </w:r>
                </w:p>
              </w:tc>
              <w:tc>
                <w:tcPr/>
                <w:p>
                  <w:pPr>
                    <w:pStyle w:val="Compact"/>
                    <w:jc w:val="right"/>
                    <w:jc w:val="center"/>
                  </w:pPr>
                  <w:r>
                    <w:t xml:space="preserve">7</w:t>
                  </w:r>
                </w:p>
              </w:tc>
              <w:tc>
                <w:tcPr/>
                <w:p>
                  <w:pPr>
                    <w:pStyle w:val="Compact"/>
                    <w:jc w:val="right"/>
                    <w:jc w:val="center"/>
                  </w:pPr>
                  <w:r>
                    <w:t xml:space="preserve">12.3</w:t>
                  </w:r>
                </w:p>
              </w:tc>
            </w:tr>
            <w:tr>
              <w:tc>
                <w:tcPr/>
                <w:p>
                  <w:pPr>
                    <w:pStyle w:val="Compact"/>
                    <w:jc w:val="left"/>
                    <w:jc w:val="center"/>
                  </w:pPr>
                  <w:r>
                    <w:t xml:space="preserve">K6</w:t>
                  </w:r>
                </w:p>
              </w:tc>
              <w:tc>
                <w:tcPr/>
                <w:p>
                  <w:pPr>
                    <w:pStyle w:val="Compact"/>
                    <w:jc w:val="left"/>
                    <w:jc w:val="center"/>
                  </w:pPr>
                  <w:r>
                    <w:t xml:space="preserve">Risk management methodology</w:t>
                  </w:r>
                </w:p>
              </w:tc>
              <w:tc>
                <w:tcPr/>
                <w:p>
                  <w:pPr>
                    <w:pStyle w:val="Compact"/>
                    <w:jc w:val="right"/>
                    <w:jc w:val="center"/>
                  </w:pPr>
                  <w:r>
                    <w:t xml:space="preserve">6</w:t>
                  </w:r>
                </w:p>
              </w:tc>
              <w:tc>
                <w:tcPr/>
                <w:p>
                  <w:pPr>
                    <w:pStyle w:val="Compact"/>
                    <w:jc w:val="right"/>
                    <w:jc w:val="center"/>
                  </w:pPr>
                  <w:r>
                    <w:t xml:space="preserve">10.5</w:t>
                  </w:r>
                </w:p>
              </w:tc>
            </w:tr>
            <w:tr>
              <w:tc>
                <w:tcPr/>
                <w:p>
                  <w:pPr>
                    <w:pStyle w:val="Compact"/>
                    <w:jc w:val="left"/>
                    <w:jc w:val="center"/>
                  </w:pPr>
                  <w:r>
                    <w:t xml:space="preserve">K9</w:t>
                  </w:r>
                </w:p>
              </w:tc>
              <w:tc>
                <w:tcPr/>
                <w:p>
                  <w:pPr>
                    <w:pStyle w:val="Compact"/>
                    <w:jc w:val="left"/>
                    <w:jc w:val="center"/>
                  </w:pPr>
                  <w:r>
                    <w:t xml:space="preserve">Maintenance planning</w:t>
                  </w:r>
                </w:p>
              </w:tc>
              <w:tc>
                <w:tcPr/>
                <w:p>
                  <w:pPr>
                    <w:pStyle w:val="Compact"/>
                    <w:jc w:val="right"/>
                    <w:jc w:val="center"/>
                  </w:pPr>
                  <w:r>
                    <w:t xml:space="preserve">4</w:t>
                  </w:r>
                </w:p>
              </w:tc>
              <w:tc>
                <w:tcPr/>
                <w:p>
                  <w:pPr>
                    <w:pStyle w:val="Compact"/>
                    <w:jc w:val="right"/>
                    <w:jc w:val="center"/>
                  </w:pPr>
                  <w:r>
                    <w:t xml:space="preserve">7</w:t>
                  </w:r>
                </w:p>
              </w:tc>
            </w:tr>
            <w:tr>
              <w:tc>
                <w:tcPr/>
                <w:p>
                  <w:pPr>
                    <w:pStyle w:val="Compact"/>
                    <w:jc w:val="left"/>
                    <w:jc w:val="center"/>
                  </w:pPr>
                  <w:r>
                    <w:t xml:space="preserve">K7</w:t>
                  </w:r>
                </w:p>
              </w:tc>
              <w:tc>
                <w:tcPr/>
                <w:p>
                  <w:pPr>
                    <w:pStyle w:val="Compact"/>
                    <w:jc w:val="left"/>
                    <w:jc w:val="center"/>
                  </w:pPr>
                  <w:r>
                    <w:t xml:space="preserve">Continuous improvement methodology</w:t>
                  </w:r>
                </w:p>
              </w:tc>
              <w:tc>
                <w:tcPr/>
                <w:p>
                  <w:pPr>
                    <w:pStyle w:val="Compact"/>
                    <w:jc w:val="right"/>
                    <w:jc w:val="center"/>
                  </w:pPr>
                  <w:r>
                    <w:t xml:space="preserve">2</w:t>
                  </w:r>
                </w:p>
              </w:tc>
              <w:tc>
                <w:tcPr/>
                <w:p>
                  <w:pPr>
                    <w:pStyle w:val="Compact"/>
                    <w:jc w:val="right"/>
                    <w:jc w:val="center"/>
                  </w:pPr>
                  <w:r>
                    <w:t xml:space="preserve">3.5</w:t>
                  </w:r>
                </w:p>
              </w:tc>
            </w:tr>
            <w:tr>
              <w:tc>
                <w:tcPr/>
                <w:p>
                  <w:pPr>
                    <w:pStyle w:val="Compact"/>
                    <w:jc w:val="left"/>
                    <w:jc w:val="center"/>
                  </w:pPr>
                  <w:r>
                    <w:t xml:space="preserve">K10</w:t>
                  </w:r>
                </w:p>
              </w:tc>
              <w:tc>
                <w:tcPr/>
                <w:p>
                  <w:pPr>
                    <w:pStyle w:val="Compact"/>
                    <w:jc w:val="left"/>
                    <w:jc w:val="center"/>
                  </w:pPr>
                  <w:r>
                    <w:t xml:space="preserve">Product specifications</w:t>
                  </w:r>
                </w:p>
              </w:tc>
              <w:tc>
                <w:tcPr/>
                <w:p>
                  <w:pPr>
                    <w:pStyle w:val="Compact"/>
                    <w:jc w:val="right"/>
                    <w:jc w:val="center"/>
                  </w:pPr>
                  <w:r>
                    <w:t xml:space="preserve">1</w:t>
                  </w:r>
                </w:p>
              </w:tc>
              <w:tc>
                <w:tcPr/>
                <w:p>
                  <w:pPr>
                    <w:pStyle w:val="Compact"/>
                    <w:jc w:val="right"/>
                    <w:jc w:val="center"/>
                  </w:pPr>
                  <w:r>
                    <w:t xml:space="preserve">1.8</w:t>
                  </w:r>
                </w:p>
              </w:tc>
            </w:tr>
            <w:tr>
              <w:tc>
                <w:tcPr/>
                <w:p>
                  <w:pPr>
                    <w:pStyle w:val="Compact"/>
                    <w:jc w:val="left"/>
                    <w:jc w:val="center"/>
                  </w:pPr>
                  <w:r>
                    <w:t xml:space="preserve">K3</w:t>
                  </w:r>
                </w:p>
              </w:tc>
              <w:tc>
                <w:tcPr/>
                <w:p>
                  <w:pPr>
                    <w:pStyle w:val="Compact"/>
                    <w:jc w:val="left"/>
                    <w:jc w:val="center"/>
                  </w:pPr>
                  <w:r>
                    <w:t xml:space="preserve">Electrical legislation</w:t>
                  </w:r>
                </w:p>
              </w:tc>
              <w:tc>
                <w:tcPr/>
                <w:p>
                  <w:pPr>
                    <w:pStyle w:val="Compact"/>
                    <w:jc w:val="right"/>
                    <w:jc w:val="center"/>
                  </w:pPr>
                  <w:r>
                    <w:t xml:space="preserve">1</w:t>
                  </w:r>
                </w:p>
              </w:tc>
              <w:tc>
                <w:tcPr/>
                <w:p>
                  <w:pPr>
                    <w:pStyle w:val="Compact"/>
                    <w:jc w:val="right"/>
                    <w:jc w:val="center"/>
                  </w:pPr>
                  <w:r>
                    <w:t xml:space="preserve">1.8</w:t>
                  </w:r>
                </w:p>
              </w:tc>
            </w:tr>
          </w:tbl>
          <w:bookmarkEnd w:id="61"/>
          <w:p/>
        </w:tc>
      </w:tr>
    </w:tbl>
    <w:p>
      <w:pPr>
        <w:pStyle w:val="BodyText"/>
      </w:pPr>
      <w:r>
        <w:t xml:space="preserve"> </w:t>
      </w:r>
    </w:p>
    <w:tbl>
      <w:tblPr>
        <w:tblStyle w:val="Table"/>
        <w:tblW w:type="pct" w:w="5000"/>
        <w:tblLayout w:type="fixed"/>
        <w:tblLook w:firstRow="0" w:lastRow="0" w:firstColumn="0" w:lastColumn="0" w:noHBand="0" w:noVBand="0" w:val="0000"/>
        <w:tblBorders>
          <w:top w:val="nil"/>
          <w:bottom w:val="nil"/>
          <w:left w:val="nil"/>
          <w:right w:val="nil"/>
          <w:insideH w:val="nil"/>
          <w:insideV w:val="nil"/>
        </w:tblBorders>
      </w:tblPr>
      <w:tblGrid>
        <w:gridCol w:w="7920"/>
      </w:tblGrid>
      <w:tr>
        <w:tc>
          <w:tcPr>
            <w:tcBorders>
              <w:top w:val="nil"/>
              <w:bottom w:val="nil"/>
              <w:left w:val="nil"/>
              <w:right w:val="nil"/>
            </w:tcBorders>
          </w:tcPr>
          <w:bookmarkStart w:id="65" w:name="fig-knowledge"/>
          <w:p>
            <w:pPr>
              <w:pStyle w:val="Compact"/>
              <w:jc w:val="center"/>
            </w:pPr>
            <w:r>
              <w:drawing>
                <wp:inline>
                  <wp:extent cx="5073650" cy="2008960"/>
                  <wp:effectExtent b="0" l="0" r="0" t="0"/>
                  <wp:docPr descr="" title="" id="63" name="Picture"/>
                  <a:graphic>
                    <a:graphicData uri="http://schemas.openxmlformats.org/drawingml/2006/picture">
                      <pic:pic>
                        <pic:nvPicPr>
                          <pic:cNvPr descr="../figures/top_knowledge.png" id="64" name="Picture"/>
                          <pic:cNvPicPr>
                            <a:picLocks noChangeArrowheads="1" noChangeAspect="1"/>
                          </pic:cNvPicPr>
                        </pic:nvPicPr>
                        <pic:blipFill>
                          <a:blip r:embed="rId62"/>
                          <a:stretch>
                            <a:fillRect/>
                          </a:stretch>
                        </pic:blipFill>
                        <pic:spPr bwMode="auto">
                          <a:xfrm>
                            <a:off x="0" y="0"/>
                            <a:ext cx="5073650" cy="200896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Top knowledge codes across 57 JDs</w:t>
            </w:r>
          </w:p>
          <w:bookmarkEnd w:id="65"/>
        </w:tc>
      </w:tr>
    </w:tbl>
    <w:p>
      <w:pPr>
        <w:pStyle w:val="BodyText"/>
      </w:pPr>
      <w:r>
        <w:rPr>
          <w:b/>
          <w:bCs/>
        </w:rPr>
        <w:t xml:space="preserve">Observations:</w:t>
      </w:r>
    </w:p>
    <w:p>
      <w:pPr>
        <w:pStyle w:val="Compact"/>
        <w:numPr>
          <w:ilvl w:val="0"/>
          <w:numId w:val="1008"/>
        </w:numPr>
      </w:pPr>
      <w:r>
        <w:t xml:space="preserve">K5 (operational systems or software knowledge) appears in 19 JDs (33%), the most-named knowledge code. Specific systems named across the corpus include Microsoft Office, SAP, PRONTO, INX, Ellipse, CMMS, and Microsoft Project.</w:t>
      </w:r>
    </w:p>
    <w:p>
      <w:pPr>
        <w:pStyle w:val="Compact"/>
        <w:numPr>
          <w:ilvl w:val="0"/>
          <w:numId w:val="1008"/>
        </w:numPr>
      </w:pPr>
      <w:r>
        <w:t xml:space="preserve">K4 (equipment or plant knowledge) appears in 12 JDs (21%).</w:t>
      </w:r>
    </w:p>
    <w:p>
      <w:pPr>
        <w:pStyle w:val="Compact"/>
        <w:numPr>
          <w:ilvl w:val="0"/>
          <w:numId w:val="1008"/>
        </w:numPr>
      </w:pPr>
      <w:r>
        <w:t xml:space="preserve">K1 (QLD CMSHA legislative knowledge) appears in 8 JDs (14%) and K8 (sector-specific technical knowledge) in 7 JDs (12%).</w:t>
      </w:r>
    </w:p>
    <w:p>
      <w:pPr>
        <w:pStyle w:val="Compact"/>
        <w:numPr>
          <w:ilvl w:val="0"/>
          <w:numId w:val="1008"/>
        </w:numPr>
      </w:pPr>
      <w:r>
        <w:t xml:space="preserve">K6 (risk management methodology) appears in 6 JDs (10%).</w:t>
      </w:r>
    </w:p>
    <w:p>
      <w:pPr>
        <w:pStyle w:val="Compact"/>
        <w:numPr>
          <w:ilvl w:val="0"/>
          <w:numId w:val="1008"/>
        </w:numPr>
      </w:pPr>
      <w:r>
        <w:t xml:space="preserve">K7 (continuous improvement methodology such as LEAN) appears in 2 JDs (3%): both Boral Quarry sites.</w:t>
      </w:r>
    </w:p>
    <w:tbl>
      <w:tblPr>
        <w:tblStyle w:val="Table"/>
        <w:tblW w:type="pct" w:w="5000"/>
        <w:tblLayout w:type="fixed"/>
        <w:tblLook w:firstRow="0" w:lastRow="0" w:firstColumn="0" w:lastColumn="0" w:noHBand="0" w:noVBand="0" w:val="0000"/>
        <w:tblBorders>
          <w:top w:val="nil"/>
          <w:bottom w:val="nil"/>
          <w:left w:val="nil"/>
          <w:right w:val="nil"/>
          <w:insideH w:val="nil"/>
          <w:insideV w:val="nil"/>
        </w:tblBorders>
      </w:tblPr>
      <w:tblGrid>
        <w:gridCol w:w="7920"/>
      </w:tblGrid>
      <w:tr>
        <w:tc>
          <w:tcPr>
            <w:tcBorders>
              <w:top w:val="nil"/>
              <w:bottom w:val="nil"/>
              <w:left w:val="nil"/>
              <w:right w:val="nil"/>
            </w:tcBorders>
          </w:tcPr>
          <w:bookmarkStart w:id="69" w:name="fig-knowledge-sector"/>
          <w:p>
            <w:pPr>
              <w:pStyle w:val="Compact"/>
              <w:jc w:val="center"/>
            </w:pPr>
            <w:r>
              <w:drawing>
                <wp:inline>
                  <wp:extent cx="5372100" cy="2439223"/>
                  <wp:effectExtent b="0" l="0" r="0" t="0"/>
                  <wp:docPr descr="" title="" id="67" name="Picture"/>
                  <a:graphic>
                    <a:graphicData uri="http://schemas.openxmlformats.org/drawingml/2006/picture">
                      <pic:pic>
                        <pic:nvPicPr>
                          <pic:cNvPr descr="../figures/heatmap_knowledge.png" id="68" name="Picture"/>
                          <pic:cNvPicPr>
                            <a:picLocks noChangeArrowheads="1" noChangeAspect="1"/>
                          </pic:cNvPicPr>
                        </pic:nvPicPr>
                        <pic:blipFill>
                          <a:blip r:embed="rId66"/>
                          <a:stretch>
                            <a:fillRect/>
                          </a:stretch>
                        </pic:blipFill>
                        <pic:spPr bwMode="auto">
                          <a:xfrm>
                            <a:off x="0" y="0"/>
                            <a:ext cx="5372100" cy="2439223"/>
                          </a:xfrm>
                          <a:prstGeom prst="rect">
                            <a:avLst/>
                          </a:prstGeom>
                          <a:noFill/>
                          <a:ln w="9525">
                            <a:noFill/>
                            <a:headEnd/>
                            <a:tailEnd/>
                          </a:ln>
                        </pic:spPr>
                      </pic:pic>
                    </a:graphicData>
                  </a:graphic>
                </wp:inline>
              </w:drawing>
            </w:r>
          </w:p>
          <w:p>
            <w:pPr>
              <w:jc w:val="center"/>
            </w:pPr>
            <w:pPr>
              <w:jc w:val="left"/>
              <w:spacing w:before="200"/>
              <w:pStyle w:val="ImageCaption"/>
            </w:pPr>
            <w:r>
              <w:t xml:space="preserve">Figure 8: Knowledge codes by sector (% of JDs in each sector)</w:t>
            </w:r>
          </w:p>
          <w:bookmarkEnd w:id="69"/>
        </w:tc>
      </w:tr>
    </w:tbl>
    <w:bookmarkEnd w:id="70"/>
    <w:bookmarkStart w:id="80" w:name="experience"/>
    <w:p>
      <w:pPr>
        <w:pStyle w:val="Heading1"/>
      </w:pPr>
      <w:r>
        <w:t xml:space="preserve">8. Experience</w:t>
      </w:r>
    </w:p>
    <w:tbl>
      <w:tblPr>
        <w:tblStyle w:val="Table"/>
        <w:tblW w:type="pct" w:w="5000"/>
        <w:tblLayout w:type="fixed"/>
        <w:tblLook w:firstRow="0" w:lastRow="0" w:firstColumn="0" w:lastColumn="0" w:noHBand="0" w:noVBand="0" w:val="0000"/>
        <w:tblBorders>
          <w:top w:val="nil"/>
          <w:bottom w:val="nil"/>
          <w:left w:val="nil"/>
          <w:right w:val="nil"/>
          <w:insideH w:val="nil"/>
          <w:insideV w:val="nil"/>
        </w:tblBorders>
      </w:tblPr>
      <w:tblGrid>
        <w:gridCol w:w="7920"/>
      </w:tblGrid>
      <w:tr>
        <w:tc>
          <w:tcPr>
            <w:tcBorders>
              <w:top w:val="nil"/>
              <w:bottom w:val="nil"/>
              <w:left w:val="nil"/>
              <w:right w:val="nil"/>
            </w:tcBorders>
          </w:tcPr>
          <w:bookmarkStart w:id="71" w:name="tbl-experience"/>
          <w:p>
            <w:pPr>
              <w:jc w:val="center"/>
            </w:pPr>
            <w:pPr>
              <w:jc w:val="left"/>
              <w:spacing w:before="200"/>
              <w:pStyle w:val="ImageCaption"/>
            </w:pPr>
            <w:r>
              <w:t xml:space="preserve">Table 7: Experience codes: frequency across all 57 JDs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code</w:t>
                  </w:r>
                </w:p>
              </w:tc>
              <w:tc>
                <w:tcPr/>
                <w:p>
                  <w:pPr>
                    <w:pStyle w:val="Compact"/>
                    <w:jc w:val="left"/>
                    <w:jc w:val="center"/>
                  </w:pPr>
                  <w:r>
                    <w:t xml:space="preserve">label</w:t>
                  </w:r>
                </w:p>
              </w:tc>
              <w:tc>
                <w:tcPr/>
                <w:p>
                  <w:pPr>
                    <w:pStyle w:val="Compact"/>
                    <w:jc w:val="right"/>
                    <w:jc w:val="center"/>
                  </w:pPr>
                  <w:r>
                    <w:t xml:space="preserve">n_jds</w:t>
                  </w:r>
                </w:p>
              </w:tc>
              <w:tc>
                <w:tcPr/>
                <w:p>
                  <w:pPr>
                    <w:pStyle w:val="Compact"/>
                    <w:jc w:val="right"/>
                    <w:jc w:val="center"/>
                  </w:pPr>
                  <w:r>
                    <w:t xml:space="preserve">pct_jds</w:t>
                  </w:r>
                </w:p>
              </w:tc>
            </w:tr>
            <w:tr>
              <w:tc>
                <w:tcPr/>
                <w:p>
                  <w:pPr>
                    <w:pStyle w:val="Compact"/>
                    <w:jc w:val="left"/>
                    <w:jc w:val="center"/>
                  </w:pPr>
                  <w:r>
                    <w:t xml:space="preserve">E1</w:t>
                  </w:r>
                </w:p>
              </w:tc>
              <w:tc>
                <w:tcPr/>
                <w:p>
                  <w:pPr>
                    <w:pStyle w:val="Compact"/>
                    <w:jc w:val="left"/>
                    <w:jc w:val="center"/>
                  </w:pPr>
                  <w:r>
                    <w:t xml:space="preserve">Supervisory experience</w:t>
                  </w:r>
                </w:p>
              </w:tc>
              <w:tc>
                <w:tcPr/>
                <w:p>
                  <w:pPr>
                    <w:pStyle w:val="Compact"/>
                    <w:jc w:val="right"/>
                    <w:jc w:val="center"/>
                  </w:pPr>
                  <w:r>
                    <w:t xml:space="preserve">43</w:t>
                  </w:r>
                </w:p>
              </w:tc>
              <w:tc>
                <w:tcPr/>
                <w:p>
                  <w:pPr>
                    <w:pStyle w:val="Compact"/>
                    <w:jc w:val="right"/>
                    <w:jc w:val="center"/>
                  </w:pPr>
                  <w:r>
                    <w:t xml:space="preserve">75.4</w:t>
                  </w:r>
                </w:p>
              </w:tc>
            </w:tr>
            <w:tr>
              <w:tc>
                <w:tcPr/>
                <w:p>
                  <w:pPr>
                    <w:pStyle w:val="Compact"/>
                    <w:jc w:val="left"/>
                    <w:jc w:val="center"/>
                  </w:pPr>
                  <w:r>
                    <w:t xml:space="preserve">E7</w:t>
                  </w:r>
                </w:p>
              </w:tc>
              <w:tc>
                <w:tcPr/>
                <w:p>
                  <w:pPr>
                    <w:pStyle w:val="Compact"/>
                    <w:jc w:val="left"/>
                    <w:jc w:val="center"/>
                  </w:pPr>
                  <w:r>
                    <w:t xml:space="preserve">Equipment specialism</w:t>
                  </w:r>
                </w:p>
              </w:tc>
              <w:tc>
                <w:tcPr/>
                <w:p>
                  <w:pPr>
                    <w:pStyle w:val="Compact"/>
                    <w:jc w:val="right"/>
                    <w:jc w:val="center"/>
                  </w:pPr>
                  <w:r>
                    <w:t xml:space="preserve">17</w:t>
                  </w:r>
                </w:p>
              </w:tc>
              <w:tc>
                <w:tcPr/>
                <w:p>
                  <w:pPr>
                    <w:pStyle w:val="Compact"/>
                    <w:jc w:val="right"/>
                    <w:jc w:val="center"/>
                  </w:pPr>
                  <w:r>
                    <w:t xml:space="preserve">29.8</w:t>
                  </w:r>
                </w:p>
              </w:tc>
            </w:tr>
            <w:tr>
              <w:tc>
                <w:tcPr/>
                <w:p>
                  <w:pPr>
                    <w:pStyle w:val="Compact"/>
                    <w:jc w:val="left"/>
                    <w:jc w:val="center"/>
                  </w:pPr>
                  <w:r>
                    <w:t xml:space="preserve">E11</w:t>
                  </w:r>
                </w:p>
              </w:tc>
              <w:tc>
                <w:tcPr/>
                <w:p>
                  <w:pPr>
                    <w:pStyle w:val="Compact"/>
                    <w:jc w:val="left"/>
                    <w:jc w:val="center"/>
                  </w:pPr>
                  <w:r>
                    <w:t xml:space="preserve">Commodity/process specialism</w:t>
                  </w:r>
                </w:p>
              </w:tc>
              <w:tc>
                <w:tcPr/>
                <w:p>
                  <w:pPr>
                    <w:pStyle w:val="Compact"/>
                    <w:jc w:val="right"/>
                    <w:jc w:val="center"/>
                  </w:pPr>
                  <w:r>
                    <w:t xml:space="preserve">16</w:t>
                  </w:r>
                </w:p>
              </w:tc>
              <w:tc>
                <w:tcPr/>
                <w:p>
                  <w:pPr>
                    <w:pStyle w:val="Compact"/>
                    <w:jc w:val="right"/>
                    <w:jc w:val="center"/>
                  </w:pPr>
                  <w:r>
                    <w:t xml:space="preserve">28.1</w:t>
                  </w:r>
                </w:p>
              </w:tc>
            </w:tr>
            <w:tr>
              <w:tc>
                <w:tcPr/>
                <w:p>
                  <w:pPr>
                    <w:pStyle w:val="Compact"/>
                    <w:jc w:val="left"/>
                    <w:jc w:val="center"/>
                  </w:pPr>
                  <w:r>
                    <w:t xml:space="preserve">E2</w:t>
                  </w:r>
                </w:p>
              </w:tc>
              <w:tc>
                <w:tcPr/>
                <w:p>
                  <w:pPr>
                    <w:pStyle w:val="Compact"/>
                    <w:jc w:val="left"/>
                    <w:jc w:val="center"/>
                  </w:pPr>
                  <w:r>
                    <w:t xml:space="preserve">Operational experience</w:t>
                  </w:r>
                </w:p>
              </w:tc>
              <w:tc>
                <w:tcPr/>
                <w:p>
                  <w:pPr>
                    <w:pStyle w:val="Compact"/>
                    <w:jc w:val="right"/>
                    <w:jc w:val="center"/>
                  </w:pPr>
                  <w:r>
                    <w:t xml:space="preserve">16</w:t>
                  </w:r>
                </w:p>
              </w:tc>
              <w:tc>
                <w:tcPr/>
                <w:p>
                  <w:pPr>
                    <w:pStyle w:val="Compact"/>
                    <w:jc w:val="right"/>
                    <w:jc w:val="center"/>
                  </w:pPr>
                  <w:r>
                    <w:t xml:space="preserve">28.1</w:t>
                  </w:r>
                </w:p>
              </w:tc>
            </w:tr>
            <w:tr>
              <w:tc>
                <w:tcPr/>
                <w:p>
                  <w:pPr>
                    <w:pStyle w:val="Compact"/>
                    <w:jc w:val="left"/>
                    <w:jc w:val="center"/>
                  </w:pPr>
                  <w:r>
                    <w:t xml:space="preserve">E3</w:t>
                  </w:r>
                </w:p>
              </w:tc>
              <w:tc>
                <w:tcPr/>
                <w:p>
                  <w:pPr>
                    <w:pStyle w:val="Compact"/>
                    <w:jc w:val="left"/>
                    <w:jc w:val="center"/>
                  </w:pPr>
                  <w:r>
                    <w:t xml:space="preserve">Sector: Coal Surface</w:t>
                  </w:r>
                </w:p>
              </w:tc>
              <w:tc>
                <w:tcPr/>
                <w:p>
                  <w:pPr>
                    <w:pStyle w:val="Compact"/>
                    <w:jc w:val="right"/>
                    <w:jc w:val="center"/>
                  </w:pPr>
                  <w:r>
                    <w:t xml:space="preserve">16</w:t>
                  </w:r>
                </w:p>
              </w:tc>
              <w:tc>
                <w:tcPr/>
                <w:p>
                  <w:pPr>
                    <w:pStyle w:val="Compact"/>
                    <w:jc w:val="right"/>
                    <w:jc w:val="center"/>
                  </w:pPr>
                  <w:r>
                    <w:t xml:space="preserve">28.1</w:t>
                  </w:r>
                </w:p>
              </w:tc>
            </w:tr>
            <w:tr>
              <w:tc>
                <w:tcPr/>
                <w:p>
                  <w:pPr>
                    <w:pStyle w:val="Compact"/>
                    <w:jc w:val="left"/>
                    <w:jc w:val="center"/>
                  </w:pPr>
                  <w:r>
                    <w:t xml:space="preserve">E5</w:t>
                  </w:r>
                </w:p>
              </w:tc>
              <w:tc>
                <w:tcPr/>
                <w:p>
                  <w:pPr>
                    <w:pStyle w:val="Compact"/>
                    <w:jc w:val="left"/>
                    <w:jc w:val="center"/>
                  </w:pPr>
                  <w:r>
                    <w:t xml:space="preserve">Sector: Minerals</w:t>
                  </w:r>
                </w:p>
              </w:tc>
              <w:tc>
                <w:tcPr/>
                <w:p>
                  <w:pPr>
                    <w:pStyle w:val="Compact"/>
                    <w:jc w:val="right"/>
                    <w:jc w:val="center"/>
                  </w:pPr>
                  <w:r>
                    <w:t xml:space="preserve">10</w:t>
                  </w:r>
                </w:p>
              </w:tc>
              <w:tc>
                <w:tcPr/>
                <w:p>
                  <w:pPr>
                    <w:pStyle w:val="Compact"/>
                    <w:jc w:val="right"/>
                    <w:jc w:val="center"/>
                  </w:pPr>
                  <w:r>
                    <w:t xml:space="preserve">17.5</w:t>
                  </w:r>
                </w:p>
              </w:tc>
            </w:tr>
            <w:tr>
              <w:tc>
                <w:tcPr/>
                <w:p>
                  <w:pPr>
                    <w:pStyle w:val="Compact"/>
                    <w:jc w:val="left"/>
                    <w:jc w:val="center"/>
                  </w:pPr>
                  <w:r>
                    <w:t xml:space="preserve">E8</w:t>
                  </w:r>
                </w:p>
              </w:tc>
              <w:tc>
                <w:tcPr/>
                <w:p>
                  <w:pPr>
                    <w:pStyle w:val="Compact"/>
                    <w:jc w:val="left"/>
                    <w:jc w:val="center"/>
                  </w:pPr>
                  <w:r>
                    <w:t xml:space="preserve">Workforce context</w:t>
                  </w:r>
                </w:p>
              </w:tc>
              <w:tc>
                <w:tcPr/>
                <w:p>
                  <w:pPr>
                    <w:pStyle w:val="Compact"/>
                    <w:jc w:val="right"/>
                    <w:jc w:val="center"/>
                  </w:pPr>
                  <w:r>
                    <w:t xml:space="preserve">7</w:t>
                  </w:r>
                </w:p>
              </w:tc>
              <w:tc>
                <w:tcPr/>
                <w:p>
                  <w:pPr>
                    <w:pStyle w:val="Compact"/>
                    <w:jc w:val="right"/>
                    <w:jc w:val="center"/>
                  </w:pPr>
                  <w:r>
                    <w:t xml:space="preserve">12.3</w:t>
                  </w:r>
                </w:p>
              </w:tc>
            </w:tr>
            <w:tr>
              <w:tc>
                <w:tcPr/>
                <w:p>
                  <w:pPr>
                    <w:pStyle w:val="Compact"/>
                    <w:jc w:val="left"/>
                    <w:jc w:val="center"/>
                  </w:pPr>
                  <w:r>
                    <w:t xml:space="preserve">E6</w:t>
                  </w:r>
                </w:p>
              </w:tc>
              <w:tc>
                <w:tcPr/>
                <w:p>
                  <w:pPr>
                    <w:pStyle w:val="Compact"/>
                    <w:jc w:val="left"/>
                    <w:jc w:val="center"/>
                  </w:pPr>
                  <w:r>
                    <w:t xml:space="preserve">Sector: Quarry</w:t>
                  </w:r>
                </w:p>
              </w:tc>
              <w:tc>
                <w:tcPr/>
                <w:p>
                  <w:pPr>
                    <w:pStyle w:val="Compact"/>
                    <w:jc w:val="right"/>
                    <w:jc w:val="center"/>
                  </w:pPr>
                  <w:r>
                    <w:t xml:space="preserve">6</w:t>
                  </w:r>
                </w:p>
              </w:tc>
              <w:tc>
                <w:tcPr/>
                <w:p>
                  <w:pPr>
                    <w:pStyle w:val="Compact"/>
                    <w:jc w:val="right"/>
                    <w:jc w:val="center"/>
                  </w:pPr>
                  <w:r>
                    <w:t xml:space="preserve">10.5</w:t>
                  </w:r>
                </w:p>
              </w:tc>
            </w:tr>
            <w:tr>
              <w:tc>
                <w:tcPr/>
                <w:p>
                  <w:pPr>
                    <w:pStyle w:val="Compact"/>
                    <w:jc w:val="left"/>
                    <w:jc w:val="center"/>
                  </w:pPr>
                  <w:r>
                    <w:t xml:space="preserve">E10</w:t>
                  </w:r>
                </w:p>
              </w:tc>
              <w:tc>
                <w:tcPr/>
                <w:p>
                  <w:pPr>
                    <w:pStyle w:val="Compact"/>
                    <w:jc w:val="left"/>
                    <w:jc w:val="center"/>
                  </w:pPr>
                  <w:r>
                    <w:t xml:space="preserve">Industry breadth</w:t>
                  </w:r>
                </w:p>
              </w:tc>
              <w:tc>
                <w:tcPr/>
                <w:p>
                  <w:pPr>
                    <w:pStyle w:val="Compact"/>
                    <w:jc w:val="right"/>
                    <w:jc w:val="center"/>
                  </w:pPr>
                  <w:r>
                    <w:t xml:space="preserve">5</w:t>
                  </w:r>
                </w:p>
              </w:tc>
              <w:tc>
                <w:tcPr/>
                <w:p>
                  <w:pPr>
                    <w:pStyle w:val="Compact"/>
                    <w:jc w:val="right"/>
                    <w:jc w:val="center"/>
                  </w:pPr>
                  <w:r>
                    <w:t xml:space="preserve">8.8</w:t>
                  </w:r>
                </w:p>
              </w:tc>
            </w:tr>
            <w:tr>
              <w:tc>
                <w:tcPr/>
                <w:p>
                  <w:pPr>
                    <w:pStyle w:val="Compact"/>
                    <w:jc w:val="left"/>
                    <w:jc w:val="center"/>
                  </w:pPr>
                  <w:r>
                    <w:t xml:space="preserve">E9</w:t>
                  </w:r>
                </w:p>
              </w:tc>
              <w:tc>
                <w:tcPr/>
                <w:p>
                  <w:pPr>
                    <w:pStyle w:val="Compact"/>
                    <w:jc w:val="left"/>
                    <w:jc w:val="center"/>
                  </w:pPr>
                  <w:r>
                    <w:t xml:space="preserve">Project delivery experience</w:t>
                  </w:r>
                </w:p>
              </w:tc>
              <w:tc>
                <w:tcPr/>
                <w:p>
                  <w:pPr>
                    <w:pStyle w:val="Compact"/>
                    <w:jc w:val="right"/>
                    <w:jc w:val="center"/>
                  </w:pPr>
                  <w:r>
                    <w:t xml:space="preserve">4</w:t>
                  </w:r>
                </w:p>
              </w:tc>
              <w:tc>
                <w:tcPr/>
                <w:p>
                  <w:pPr>
                    <w:pStyle w:val="Compact"/>
                    <w:jc w:val="right"/>
                    <w:jc w:val="center"/>
                  </w:pPr>
                  <w:r>
                    <w:t xml:space="preserve">7</w:t>
                  </w:r>
                </w:p>
              </w:tc>
            </w:tr>
            <w:tr>
              <w:tc>
                <w:tcPr/>
                <w:p>
                  <w:pPr>
                    <w:pStyle w:val="Compact"/>
                    <w:jc w:val="left"/>
                    <w:jc w:val="center"/>
                  </w:pPr>
                  <w:r>
                    <w:t xml:space="preserve">E4</w:t>
                  </w:r>
                </w:p>
              </w:tc>
              <w:tc>
                <w:tcPr/>
                <w:p>
                  <w:pPr>
                    <w:pStyle w:val="Compact"/>
                    <w:jc w:val="left"/>
                    <w:jc w:val="center"/>
                  </w:pPr>
                  <w:r>
                    <w:t xml:space="preserve">Sector: Coal UG</w:t>
                  </w:r>
                </w:p>
              </w:tc>
              <w:tc>
                <w:tcPr/>
                <w:p>
                  <w:pPr>
                    <w:pStyle w:val="Compact"/>
                    <w:jc w:val="right"/>
                    <w:jc w:val="center"/>
                  </w:pPr>
                  <w:r>
                    <w:t xml:space="preserve">3</w:t>
                  </w:r>
                </w:p>
              </w:tc>
              <w:tc>
                <w:tcPr/>
                <w:p>
                  <w:pPr>
                    <w:pStyle w:val="Compact"/>
                    <w:jc w:val="right"/>
                    <w:jc w:val="center"/>
                  </w:pPr>
                  <w:r>
                    <w:t xml:space="preserve">5.3</w:t>
                  </w:r>
                </w:p>
              </w:tc>
            </w:tr>
            <w:tr>
              <w:tc>
                <w:tcPr/>
                <w:p>
                  <w:pPr>
                    <w:pStyle w:val="Compact"/>
                    <w:jc w:val="left"/>
                    <w:jc w:val="center"/>
                  </w:pPr>
                  <w:r>
                    <w:t xml:space="preserve">E13</w:t>
                  </w:r>
                </w:p>
              </w:tc>
              <w:tc>
                <w:tcPr/>
                <w:p>
                  <w:pPr>
                    <w:pStyle w:val="Compact"/>
                    <w:jc w:val="left"/>
                    <w:jc w:val="center"/>
                  </w:pPr>
                  <w:r>
                    <w:t xml:space="preserve">Contractor mgmt</w:t>
                  </w:r>
                </w:p>
              </w:tc>
              <w:tc>
                <w:tcPr/>
                <w:p>
                  <w:pPr>
                    <w:pStyle w:val="Compact"/>
                    <w:jc w:val="right"/>
                    <w:jc w:val="center"/>
                  </w:pPr>
                  <w:r>
                    <w:t xml:space="preserve">2</w:t>
                  </w:r>
                </w:p>
              </w:tc>
              <w:tc>
                <w:tcPr/>
                <w:p>
                  <w:pPr>
                    <w:pStyle w:val="Compact"/>
                    <w:jc w:val="right"/>
                    <w:jc w:val="center"/>
                  </w:pPr>
                  <w:r>
                    <w:t xml:space="preserve">3.5</w:t>
                  </w:r>
                </w:p>
              </w:tc>
            </w:tr>
            <w:tr>
              <w:tc>
                <w:tcPr/>
                <w:p>
                  <w:pPr>
                    <w:pStyle w:val="Compact"/>
                    <w:jc w:val="left"/>
                    <w:jc w:val="center"/>
                  </w:pPr>
                  <w:r>
                    <w:t xml:space="preserve">E12</w:t>
                  </w:r>
                </w:p>
              </w:tc>
              <w:tc>
                <w:tcPr/>
                <w:p>
                  <w:pPr>
                    <w:pStyle w:val="Compact"/>
                    <w:jc w:val="left"/>
                    <w:jc w:val="center"/>
                  </w:pPr>
                  <w:r>
                    <w:t xml:space="preserve">Equipment brand</w:t>
                  </w:r>
                </w:p>
              </w:tc>
              <w:tc>
                <w:tcPr/>
                <w:p>
                  <w:pPr>
                    <w:pStyle w:val="Compact"/>
                    <w:jc w:val="right"/>
                    <w:jc w:val="center"/>
                  </w:pPr>
                  <w:r>
                    <w:t xml:space="preserve">1</w:t>
                  </w:r>
                </w:p>
              </w:tc>
              <w:tc>
                <w:tcPr/>
                <w:p>
                  <w:pPr>
                    <w:pStyle w:val="Compact"/>
                    <w:jc w:val="right"/>
                    <w:jc w:val="center"/>
                  </w:pPr>
                  <w:r>
                    <w:t xml:space="preserve">1.8</w:t>
                  </w:r>
                </w:p>
              </w:tc>
            </w:tr>
          </w:tbl>
          <w:bookmarkEnd w:id="71"/>
          <w:p/>
        </w:tc>
      </w:tr>
    </w:tbl>
    <w:p>
      <w:pPr>
        <w:pStyle w:val="BodyText"/>
      </w:pPr>
      <w:r>
        <w:t xml:space="preserve"> </w:t>
      </w:r>
    </w:p>
    <w:tbl>
      <w:tblPr>
        <w:tblStyle w:val="Table"/>
        <w:tblW w:type="pct" w:w="5000"/>
        <w:tblLayout w:type="fixed"/>
        <w:tblLook w:firstRow="0" w:lastRow="0" w:firstColumn="0" w:lastColumn="0" w:noHBand="0" w:noVBand="0" w:val="0000"/>
        <w:tblBorders>
          <w:top w:val="nil"/>
          <w:bottom w:val="nil"/>
          <w:left w:val="nil"/>
          <w:right w:val="nil"/>
          <w:insideH w:val="nil"/>
          <w:insideV w:val="nil"/>
        </w:tblBorders>
      </w:tblPr>
      <w:tblGrid>
        <w:gridCol w:w="7920"/>
      </w:tblGrid>
      <w:tr>
        <w:tc>
          <w:tcPr>
            <w:tcBorders>
              <w:top w:val="nil"/>
              <w:bottom w:val="nil"/>
              <w:left w:val="nil"/>
              <w:right w:val="nil"/>
            </w:tcBorders>
          </w:tcPr>
          <w:bookmarkStart w:id="75" w:name="fig-experience"/>
          <w:p>
            <w:pPr>
              <w:pStyle w:val="Compact"/>
              <w:jc w:val="center"/>
            </w:pPr>
            <w:r>
              <w:drawing>
                <wp:inline>
                  <wp:extent cx="5073650" cy="2702530"/>
                  <wp:effectExtent b="0" l="0" r="0" t="0"/>
                  <wp:docPr descr="" title="" id="73" name="Picture"/>
                  <a:graphic>
                    <a:graphicData uri="http://schemas.openxmlformats.org/drawingml/2006/picture">
                      <pic:pic>
                        <pic:nvPicPr>
                          <pic:cNvPr descr="../figures/top_experience.png" id="74" name="Picture"/>
                          <pic:cNvPicPr>
                            <a:picLocks noChangeArrowheads="1" noChangeAspect="1"/>
                          </pic:cNvPicPr>
                        </pic:nvPicPr>
                        <pic:blipFill>
                          <a:blip r:embed="rId72"/>
                          <a:stretch>
                            <a:fillRect/>
                          </a:stretch>
                        </pic:blipFill>
                        <pic:spPr bwMode="auto">
                          <a:xfrm>
                            <a:off x="0" y="0"/>
                            <a:ext cx="5073650" cy="2702530"/>
                          </a:xfrm>
                          <a:prstGeom prst="rect">
                            <a:avLst/>
                          </a:prstGeom>
                          <a:noFill/>
                          <a:ln w="9525">
                            <a:noFill/>
                            <a:headEnd/>
                            <a:tailEnd/>
                          </a:ln>
                        </pic:spPr>
                      </pic:pic>
                    </a:graphicData>
                  </a:graphic>
                </wp:inline>
              </w:drawing>
            </w:r>
          </w:p>
          <w:p>
            <w:pPr>
              <w:jc w:val="center"/>
            </w:pPr>
            <w:pPr>
              <w:jc w:val="left"/>
              <w:spacing w:before="200"/>
              <w:pStyle w:val="ImageCaption"/>
            </w:pPr>
            <w:r>
              <w:t xml:space="preserve">Figure 9: Top experience codes across 57 JDs</w:t>
            </w:r>
          </w:p>
          <w:bookmarkEnd w:id="75"/>
        </w:tc>
      </w:tr>
    </w:tbl>
    <w:p>
      <w:pPr>
        <w:pStyle w:val="BodyText"/>
      </w:pPr>
      <w:r>
        <w:rPr>
          <w:b/>
          <w:bCs/>
        </w:rPr>
        <w:t xml:space="preserve">Observations:</w:t>
      </w:r>
    </w:p>
    <w:p>
      <w:pPr>
        <w:pStyle w:val="Compact"/>
        <w:numPr>
          <w:ilvl w:val="0"/>
          <w:numId w:val="1009"/>
        </w:numPr>
      </w:pPr>
      <w:r>
        <w:t xml:space="preserve">E1 (years of supervisory experience) appears in 43 JDs (75%), the highest count of any code in the corpus. Quantified expectations range from 2 to 10 years, with 5 years a common minimum.</w:t>
      </w:r>
    </w:p>
    <w:p>
      <w:pPr>
        <w:pStyle w:val="Compact"/>
        <w:numPr>
          <w:ilvl w:val="0"/>
          <w:numId w:val="1009"/>
        </w:numPr>
      </w:pPr>
      <w:r>
        <w:t xml:space="preserve">E7 (equipment or operational specialism) appears in 17 JDs (29%).</w:t>
      </w:r>
    </w:p>
    <w:p>
      <w:pPr>
        <w:pStyle w:val="Compact"/>
        <w:numPr>
          <w:ilvl w:val="0"/>
          <w:numId w:val="1009"/>
        </w:numPr>
      </w:pPr>
      <w:r>
        <w:t xml:space="preserve">E2 (years of operational or production experience) appears in 17 JDs (29%).</w:t>
      </w:r>
    </w:p>
    <w:p>
      <w:pPr>
        <w:pStyle w:val="Compact"/>
        <w:numPr>
          <w:ilvl w:val="0"/>
          <w:numId w:val="1009"/>
        </w:numPr>
      </w:pPr>
      <w:r>
        <w:t xml:space="preserve">E3 (Coal Surface sector experience) appears in 16 JDs (28%); E11 (commodity or process specialism) also in 16 JDs (28%).</w:t>
      </w:r>
    </w:p>
    <w:p>
      <w:pPr>
        <w:pStyle w:val="Compact"/>
        <w:numPr>
          <w:ilvl w:val="0"/>
          <w:numId w:val="1009"/>
        </w:numPr>
      </w:pPr>
      <w:r>
        <w:t xml:space="preserve">E5 (hard rock or minerals experience) appears in 10 JDs (17%).</w:t>
      </w:r>
    </w:p>
    <w:p>
      <w:pPr>
        <w:pStyle w:val="Compact"/>
        <w:numPr>
          <w:ilvl w:val="0"/>
          <w:numId w:val="1009"/>
        </w:numPr>
      </w:pPr>
      <w:r>
        <w:t xml:space="preserve">E9 (project delivery or shutdown experience) appears in 4 JDs (7%): BHP Lead Supervisor Shutdown, LMP Project, Projects Crew Supervisor, and South32 Cannington Mechanical Supervisor.</w:t>
      </w:r>
    </w:p>
    <w:tbl>
      <w:tblPr>
        <w:tblStyle w:val="Table"/>
        <w:tblW w:type="pct" w:w="5000"/>
        <w:tblLayout w:type="fixed"/>
        <w:tblLook w:firstRow="0" w:lastRow="0" w:firstColumn="0" w:lastColumn="0" w:noHBand="0" w:noVBand="0" w:val="0000"/>
        <w:tblBorders>
          <w:top w:val="nil"/>
          <w:bottom w:val="nil"/>
          <w:left w:val="nil"/>
          <w:right w:val="nil"/>
          <w:insideH w:val="nil"/>
          <w:insideV w:val="nil"/>
        </w:tblBorders>
      </w:tblPr>
      <w:tblGrid>
        <w:gridCol w:w="7920"/>
      </w:tblGrid>
      <w:tr>
        <w:tc>
          <w:tcPr>
            <w:tcBorders>
              <w:top w:val="nil"/>
              <w:bottom w:val="nil"/>
              <w:left w:val="nil"/>
              <w:right w:val="nil"/>
            </w:tcBorders>
          </w:tcPr>
          <w:bookmarkStart w:id="79" w:name="fig-experience-sector"/>
          <w:p>
            <w:pPr>
              <w:pStyle w:val="Compact"/>
              <w:jc w:val="center"/>
            </w:pPr>
            <w:r>
              <w:drawing>
                <wp:inline>
                  <wp:extent cx="5372100" cy="3269614"/>
                  <wp:effectExtent b="0" l="0" r="0" t="0"/>
                  <wp:docPr descr="" title="" id="77" name="Picture"/>
                  <a:graphic>
                    <a:graphicData uri="http://schemas.openxmlformats.org/drawingml/2006/picture">
                      <pic:pic>
                        <pic:nvPicPr>
                          <pic:cNvPr descr="../figures/heatmap_experience.png" id="78" name="Picture"/>
                          <pic:cNvPicPr>
                            <a:picLocks noChangeArrowheads="1" noChangeAspect="1"/>
                          </pic:cNvPicPr>
                        </pic:nvPicPr>
                        <pic:blipFill>
                          <a:blip r:embed="rId76"/>
                          <a:stretch>
                            <a:fillRect/>
                          </a:stretch>
                        </pic:blipFill>
                        <pic:spPr bwMode="auto">
                          <a:xfrm>
                            <a:off x="0" y="0"/>
                            <a:ext cx="5372100" cy="3269614"/>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Experience codes by sector (% of JDs in each sector)</w:t>
            </w:r>
          </w:p>
          <w:bookmarkEnd w:id="79"/>
        </w:tc>
      </w:tr>
    </w:tbl>
    <w:bookmarkEnd w:id="80"/>
    <w:bookmarkStart w:id="82" w:name="statutory-positions"/>
    <w:p>
      <w:pPr>
        <w:pStyle w:val="Heading1"/>
      </w:pPr>
      <w:r>
        <w:t xml:space="preserve">9. Statutory positions</w:t>
      </w:r>
    </w:p>
    <w:tbl>
      <w:tblPr>
        <w:tblStyle w:val="Table"/>
        <w:tblW w:type="pct" w:w="5000"/>
        <w:tblLayout w:type="fixed"/>
        <w:tblLook w:firstRow="0" w:lastRow="0" w:firstColumn="0" w:lastColumn="0" w:noHBand="0" w:noVBand="0" w:val="0000"/>
        <w:tblBorders>
          <w:top w:val="nil"/>
          <w:bottom w:val="nil"/>
          <w:left w:val="nil"/>
          <w:right w:val="nil"/>
          <w:insideH w:val="nil"/>
          <w:insideV w:val="nil"/>
        </w:tblBorders>
      </w:tblPr>
      <w:tblGrid>
        <w:gridCol w:w="7920"/>
      </w:tblGrid>
      <w:tr>
        <w:tc>
          <w:tcPr>
            <w:tcBorders>
              <w:top w:val="nil"/>
              <w:bottom w:val="nil"/>
              <w:left w:val="nil"/>
              <w:right w:val="nil"/>
            </w:tcBorders>
          </w:tcPr>
          <w:bookmarkStart w:id="81" w:name="tbl-statutory"/>
          <w:p>
            <w:pPr>
              <w:jc w:val="center"/>
            </w:pPr>
            <w:pPr>
              <w:jc w:val="left"/>
              <w:spacing w:before="200"/>
              <w:pStyle w:val="ImageCaption"/>
            </w:pPr>
            <w:r>
              <w:t xml:space="preserve">Table 8: Statutory positions explicitly named in the JD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code</w:t>
                  </w:r>
                </w:p>
              </w:tc>
              <w:tc>
                <w:tcPr/>
                <w:p>
                  <w:pPr>
                    <w:pStyle w:val="Compact"/>
                    <w:jc w:val="left"/>
                    <w:jc w:val="center"/>
                  </w:pPr>
                  <w:r>
                    <w:t xml:space="preserve">label</w:t>
                  </w:r>
                </w:p>
              </w:tc>
              <w:tc>
                <w:tcPr/>
                <w:p>
                  <w:pPr>
                    <w:pStyle w:val="Compact"/>
                    <w:jc w:val="right"/>
                    <w:jc w:val="center"/>
                  </w:pPr>
                  <w:r>
                    <w:t xml:space="preserve">n_jds</w:t>
                  </w:r>
                </w:p>
              </w:tc>
              <w:tc>
                <w:tcPr/>
                <w:p>
                  <w:pPr>
                    <w:pStyle w:val="Compact"/>
                    <w:jc w:val="right"/>
                    <w:jc w:val="center"/>
                  </w:pPr>
                  <w:r>
                    <w:t xml:space="preserve">pct_jds</w:t>
                  </w:r>
                </w:p>
              </w:tc>
            </w:tr>
            <w:tr>
              <w:tc>
                <w:tcPr/>
                <w:p>
                  <w:pPr>
                    <w:pStyle w:val="Compact"/>
                    <w:jc w:val="left"/>
                    <w:jc w:val="center"/>
                  </w:pPr>
                  <w:r>
                    <w:t xml:space="preserve">SP2</w:t>
                  </w:r>
                </w:p>
              </w:tc>
              <w:tc>
                <w:tcPr/>
                <w:p>
                  <w:pPr>
                    <w:pStyle w:val="Compact"/>
                    <w:jc w:val="left"/>
                    <w:jc w:val="center"/>
                  </w:pPr>
                  <w:r>
                    <w:t xml:space="preserve">OCE position</w:t>
                  </w:r>
                </w:p>
              </w:tc>
              <w:tc>
                <w:tcPr/>
                <w:p>
                  <w:pPr>
                    <w:pStyle w:val="Compact"/>
                    <w:jc w:val="right"/>
                    <w:jc w:val="center"/>
                  </w:pPr>
                  <w:r>
                    <w:t xml:space="preserve">2</w:t>
                  </w:r>
                </w:p>
              </w:tc>
              <w:tc>
                <w:tcPr/>
                <w:p>
                  <w:pPr>
                    <w:pStyle w:val="Compact"/>
                    <w:jc w:val="right"/>
                    <w:jc w:val="center"/>
                  </w:pPr>
                  <w:r>
                    <w:t xml:space="preserve">3.5</w:t>
                  </w:r>
                </w:p>
              </w:tc>
            </w:tr>
            <w:tr>
              <w:tc>
                <w:tcPr/>
                <w:p>
                  <w:pPr>
                    <w:pStyle w:val="Compact"/>
                    <w:jc w:val="left"/>
                    <w:jc w:val="center"/>
                  </w:pPr>
                  <w:r>
                    <w:t xml:space="preserve">SP8</w:t>
                  </w:r>
                </w:p>
              </w:tc>
              <w:tc>
                <w:tcPr/>
                <w:p>
                  <w:pPr>
                    <w:pStyle w:val="Compact"/>
                    <w:jc w:val="left"/>
                    <w:jc w:val="center"/>
                  </w:pPr>
                  <w:r>
                    <w:t xml:space="preserve">Statutory UG Shift Sup</w:t>
                  </w:r>
                </w:p>
              </w:tc>
              <w:tc>
                <w:tcPr/>
                <w:p>
                  <w:pPr>
                    <w:pStyle w:val="Compact"/>
                    <w:jc w:val="right"/>
                    <w:jc w:val="center"/>
                  </w:pPr>
                  <w:r>
                    <w:t xml:space="preserve">1</w:t>
                  </w:r>
                </w:p>
              </w:tc>
              <w:tc>
                <w:tcPr/>
                <w:p>
                  <w:pPr>
                    <w:pStyle w:val="Compact"/>
                    <w:jc w:val="right"/>
                    <w:jc w:val="center"/>
                  </w:pPr>
                  <w:r>
                    <w:t xml:space="preserve">1.8</w:t>
                  </w:r>
                </w:p>
              </w:tc>
            </w:tr>
            <w:tr>
              <w:tc>
                <w:tcPr/>
                <w:p>
                  <w:pPr>
                    <w:pStyle w:val="Compact"/>
                    <w:jc w:val="left"/>
                    <w:jc w:val="center"/>
                  </w:pPr>
                  <w:r>
                    <w:t xml:space="preserve">SP9</w:t>
                  </w:r>
                </w:p>
              </w:tc>
              <w:tc>
                <w:tcPr/>
                <w:p>
                  <w:pPr>
                    <w:pStyle w:val="Compact"/>
                    <w:jc w:val="left"/>
                    <w:jc w:val="center"/>
                  </w:pPr>
                  <w:r>
                    <w:t xml:space="preserve">Shotfirer position</w:t>
                  </w:r>
                </w:p>
              </w:tc>
              <w:tc>
                <w:tcPr/>
                <w:p>
                  <w:pPr>
                    <w:pStyle w:val="Compact"/>
                    <w:jc w:val="right"/>
                    <w:jc w:val="center"/>
                  </w:pPr>
                  <w:r>
                    <w:t xml:space="preserve">1</w:t>
                  </w:r>
                </w:p>
              </w:tc>
              <w:tc>
                <w:tcPr/>
                <w:p>
                  <w:pPr>
                    <w:pStyle w:val="Compact"/>
                    <w:jc w:val="right"/>
                    <w:jc w:val="center"/>
                  </w:pPr>
                  <w:r>
                    <w:t xml:space="preserve">1.8</w:t>
                  </w:r>
                </w:p>
              </w:tc>
            </w:tr>
          </w:tbl>
          <w:bookmarkEnd w:id="81"/>
          <w:p/>
        </w:tc>
      </w:tr>
    </w:tbl>
    <w:p>
      <w:pPr>
        <w:pStyle w:val="BodyText"/>
      </w:pPr>
      <w:r>
        <w:rPr>
          <w:b/>
          <w:bCs/>
        </w:rPr>
        <w:t xml:space="preserve">Observations:</w:t>
      </w:r>
    </w:p>
    <w:p>
      <w:pPr>
        <w:pStyle w:val="BodyText"/>
      </w:pPr>
      <w:r>
        <w:t xml:space="preserve">4 of 57 JDs (7%) explicitly appoint to a named statutory position:</w:t>
      </w:r>
    </w:p>
    <w:p>
      <w:pPr>
        <w:pStyle w:val="Compact"/>
        <w:numPr>
          <w:ilvl w:val="0"/>
          <w:numId w:val="1010"/>
        </w:numPr>
      </w:pPr>
      <w:r>
        <w:t xml:space="preserve">Foxleigh Mine (Mining Supervisor / OCE): appoints to</w:t>
      </w:r>
      <w:r>
        <w:t xml:space="preserve"> </w:t>
      </w:r>
      <w:r>
        <w:rPr>
          <w:b/>
          <w:bCs/>
        </w:rPr>
        <w:t xml:space="preserve">OCE (SP2)</w:t>
      </w:r>
      <w:r>
        <w:t xml:space="preserve">.</w:t>
      </w:r>
    </w:p>
    <w:p>
      <w:pPr>
        <w:pStyle w:val="Compact"/>
        <w:numPr>
          <w:ilvl w:val="0"/>
          <w:numId w:val="1010"/>
        </w:numPr>
      </w:pPr>
      <w:r>
        <w:t xml:space="preserve">Golding OCE Kogan (Mining Supervisor, OCE Qualified): appoints to</w:t>
      </w:r>
      <w:r>
        <w:t xml:space="preserve"> </w:t>
      </w:r>
      <w:r>
        <w:rPr>
          <w:b/>
          <w:bCs/>
        </w:rPr>
        <w:t xml:space="preserve">OCE (SP2)</w:t>
      </w:r>
      <w:r>
        <w:t xml:space="preserve">.</w:t>
      </w:r>
    </w:p>
    <w:p>
      <w:pPr>
        <w:pStyle w:val="Compact"/>
        <w:numPr>
          <w:ilvl w:val="0"/>
          <w:numId w:val="1010"/>
        </w:numPr>
      </w:pPr>
      <w:r>
        <w:t xml:space="preserve">Brightstar Resources (Shift Supervisor): appoints to</w:t>
      </w:r>
      <w:r>
        <w:t xml:space="preserve"> </w:t>
      </w:r>
      <w:r>
        <w:rPr>
          <w:b/>
          <w:bCs/>
        </w:rPr>
        <w:t xml:space="preserve">Statutory Underground Shift Supervisor (SP8)</w:t>
      </w:r>
      <w:r>
        <w:t xml:space="preserve">.</w:t>
      </w:r>
    </w:p>
    <w:p>
      <w:pPr>
        <w:pStyle w:val="Compact"/>
        <w:numPr>
          <w:ilvl w:val="0"/>
          <w:numId w:val="1010"/>
        </w:numPr>
      </w:pPr>
      <w:r>
        <w:t xml:space="preserve">Supervisor Blast Crew Goonyella Mine BMA: appoints to</w:t>
      </w:r>
      <w:r>
        <w:t xml:space="preserve"> </w:t>
      </w:r>
      <w:r>
        <w:rPr>
          <w:b/>
          <w:bCs/>
        </w:rPr>
        <w:t xml:space="preserve">Shotfirer (SP9)</w:t>
      </w:r>
      <w:r>
        <w:t xml:space="preserve">.</w:t>
      </w:r>
    </w:p>
    <w:p>
      <w:pPr>
        <w:pStyle w:val="FirstParagraph"/>
      </w:pPr>
      <w:r>
        <w:t xml:space="preserve">The remaining 54 JDs (93%) require statutory tickets (coded under Qualifications) without explicitly appointing the holder to a named statutory position.</w:t>
      </w:r>
    </w:p>
    <w:bookmarkEnd w:id="82"/>
    <w:bookmarkStart w:id="87" w:name="cross-cutting-observations"/>
    <w:p>
      <w:pPr>
        <w:pStyle w:val="Heading1"/>
      </w:pPr>
      <w:r>
        <w:t xml:space="preserve">10. Cross-cutting observations</w:t>
      </w:r>
    </w:p>
    <w:bookmarkStart w:id="83" w:name="safety-language-coverage"/>
    <w:p>
      <w:pPr>
        <w:pStyle w:val="Heading2"/>
      </w:pPr>
      <w:r>
        <w:t xml:space="preserve">10.1 Safety language coverage</w:t>
      </w:r>
    </w:p>
    <w:p>
      <w:pPr>
        <w:pStyle w:val="FirstParagraph"/>
      </w:pPr>
      <w:r>
        <w:t xml:space="preserve">51 of 57 JDs (89%) contain at least one of the four safety-related codes: D4 (safety leadership activities), D5 (statutory compliance), D6 (promote safety culture), or DP1 (safety-focused disposition). The 6 JDs without any of these safety codes are mostly thin source files where extracted text was limited.</w:t>
      </w:r>
    </w:p>
    <w:bookmarkEnd w:id="83"/>
    <w:bookmarkStart w:id="85" w:name="the-most-named-codes-by-category"/>
    <w:p>
      <w:pPr>
        <w:pStyle w:val="Heading2"/>
      </w:pPr>
      <w:r>
        <w:t xml:space="preserve">10.2 The most-named codes by category</w:t>
      </w:r>
    </w:p>
    <w:p>
      <w:pPr>
        <w:pStyle w:val="FirstParagraph"/>
      </w:pPr>
      <w:r>
        <w:t xml:space="preserve">The following table summarises the single most-named code in each category, with the percentage of JDs in which it appears.</w:t>
      </w:r>
    </w:p>
    <w:tbl>
      <w:tblPr>
        <w:tblStyle w:val="Table"/>
        <w:tblW w:type="pct" w:w="5000"/>
        <w:tblLayout w:type="fixed"/>
        <w:tblLook w:firstRow="0" w:lastRow="0" w:firstColumn="0" w:lastColumn="0" w:noHBand="0" w:noVBand="0" w:val="0000"/>
        <w:tblBorders>
          <w:top w:val="nil"/>
          <w:bottom w:val="nil"/>
          <w:left w:val="nil"/>
          <w:right w:val="nil"/>
          <w:insideH w:val="nil"/>
          <w:insideV w:val="nil"/>
        </w:tblBorders>
      </w:tblPr>
      <w:tblGrid>
        <w:gridCol w:w="7920"/>
      </w:tblGrid>
      <w:tr>
        <w:tc>
          <w:tcPr>
            <w:tcBorders>
              <w:top w:val="nil"/>
              <w:bottom w:val="nil"/>
              <w:left w:val="nil"/>
              <w:right w:val="nil"/>
            </w:tcBorders>
          </w:tcPr>
          <w:bookmarkStart w:id="84" w:name="tbl-toponly"/>
          <w:p>
            <w:pPr>
              <w:jc w:val="center"/>
            </w:pPr>
            <w:pPr>
              <w:jc w:val="left"/>
              <w:spacing w:before="200"/>
              <w:pStyle w:val="ImageCaption"/>
            </w:pPr>
            <w:r>
              <w:t xml:space="preserve">Table 9: Most-named code per category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Category</w:t>
                  </w:r>
                </w:p>
              </w:tc>
              <w:tc>
                <w:tcPr/>
                <w:p>
                  <w:pPr>
                    <w:pStyle w:val="Compact"/>
                    <w:jc w:val="left"/>
                    <w:jc w:val="center"/>
                  </w:pPr>
                  <w:r>
                    <w:t xml:space="preserve">Top code</w:t>
                  </w:r>
                </w:p>
              </w:tc>
              <w:tc>
                <w:tcPr/>
                <w:p>
                  <w:pPr>
                    <w:pStyle w:val="Compact"/>
                    <w:jc w:val="right"/>
                    <w:jc w:val="center"/>
                  </w:pPr>
                  <w:r>
                    <w:t xml:space="preserve">n JDs</w:t>
                  </w:r>
                </w:p>
              </w:tc>
              <w:tc>
                <w:tcPr/>
                <w:p>
                  <w:pPr>
                    <w:pStyle w:val="Compact"/>
                    <w:jc w:val="right"/>
                    <w:jc w:val="center"/>
                  </w:pPr>
                  <w:r>
                    <w:t xml:space="preserve">% of JDs</w:t>
                  </w:r>
                </w:p>
              </w:tc>
            </w:tr>
            <w:tr>
              <w:tc>
                <w:tcPr/>
                <w:p>
                  <w:pPr>
                    <w:pStyle w:val="Compact"/>
                    <w:jc w:val="left"/>
                    <w:jc w:val="center"/>
                  </w:pPr>
                  <w:r>
                    <w:t xml:space="preserve">DUTY</w:t>
                  </w:r>
                </w:p>
              </w:tc>
              <w:tc>
                <w:tcPr/>
                <w:p>
                  <w:pPr>
                    <w:pStyle w:val="Compact"/>
                    <w:jc w:val="left"/>
                    <w:jc w:val="center"/>
                  </w:pPr>
                  <w:r>
                    <w:t xml:space="preserve">D1</w:t>
                  </w:r>
                </w:p>
              </w:tc>
              <w:tc>
                <w:tcPr/>
                <w:p>
                  <w:pPr>
                    <w:pStyle w:val="Compact"/>
                    <w:jc w:val="right"/>
                    <w:jc w:val="center"/>
                  </w:pPr>
                  <w:r>
                    <w:t xml:space="preserve">34</w:t>
                  </w:r>
                </w:p>
              </w:tc>
              <w:tc>
                <w:tcPr/>
                <w:p>
                  <w:pPr>
                    <w:pStyle w:val="Compact"/>
                    <w:jc w:val="right"/>
                    <w:jc w:val="center"/>
                  </w:pPr>
                  <w:r>
                    <w:t xml:space="preserve">59.6</w:t>
                  </w:r>
                </w:p>
              </w:tc>
            </w:tr>
            <w:tr>
              <w:tc>
                <w:tcPr/>
                <w:p>
                  <w:pPr>
                    <w:pStyle w:val="Compact"/>
                    <w:jc w:val="left"/>
                    <w:jc w:val="center"/>
                  </w:pPr>
                  <w:r>
                    <w:t xml:space="preserve">DISPOSITION</w:t>
                  </w:r>
                </w:p>
              </w:tc>
              <w:tc>
                <w:tcPr/>
                <w:p>
                  <w:pPr>
                    <w:pStyle w:val="Compact"/>
                    <w:jc w:val="left"/>
                    <w:jc w:val="center"/>
                  </w:pPr>
                  <w:r>
                    <w:t xml:space="preserve">DP2</w:t>
                  </w:r>
                </w:p>
              </w:tc>
              <w:tc>
                <w:tcPr/>
                <w:p>
                  <w:pPr>
                    <w:pStyle w:val="Compact"/>
                    <w:jc w:val="right"/>
                    <w:jc w:val="center"/>
                  </w:pPr>
                  <w:r>
                    <w:t xml:space="preserve">31</w:t>
                  </w:r>
                </w:p>
              </w:tc>
              <w:tc>
                <w:tcPr/>
                <w:p>
                  <w:pPr>
                    <w:pStyle w:val="Compact"/>
                    <w:jc w:val="right"/>
                    <w:jc w:val="center"/>
                  </w:pPr>
                  <w:r>
                    <w:t xml:space="preserve">54.4</w:t>
                  </w:r>
                </w:p>
              </w:tc>
            </w:tr>
            <w:tr>
              <w:tc>
                <w:tcPr/>
                <w:p>
                  <w:pPr>
                    <w:pStyle w:val="Compact"/>
                    <w:jc w:val="left"/>
                    <w:jc w:val="center"/>
                  </w:pPr>
                  <w:r>
                    <w:t xml:space="preserve">QUALIFICATIONS</w:t>
                  </w:r>
                </w:p>
              </w:tc>
              <w:tc>
                <w:tcPr/>
                <w:p>
                  <w:pPr>
                    <w:pStyle w:val="Compact"/>
                    <w:jc w:val="left"/>
                    <w:jc w:val="center"/>
                  </w:pPr>
                  <w:r>
                    <w:t xml:space="preserve">Q11</w:t>
                  </w:r>
                </w:p>
              </w:tc>
              <w:tc>
                <w:tcPr/>
                <w:p>
                  <w:pPr>
                    <w:pStyle w:val="Compact"/>
                    <w:jc w:val="right"/>
                    <w:jc w:val="center"/>
                  </w:pPr>
                  <w:r>
                    <w:t xml:space="preserve">18</w:t>
                  </w:r>
                </w:p>
              </w:tc>
              <w:tc>
                <w:tcPr/>
                <w:p>
                  <w:pPr>
                    <w:pStyle w:val="Compact"/>
                    <w:jc w:val="right"/>
                    <w:jc w:val="center"/>
                  </w:pPr>
                  <w:r>
                    <w:t xml:space="preserve">31.6</w:t>
                  </w:r>
                </w:p>
              </w:tc>
            </w:tr>
            <w:tr>
              <w:tc>
                <w:tcPr/>
                <w:p>
                  <w:pPr>
                    <w:pStyle w:val="Compact"/>
                    <w:jc w:val="left"/>
                    <w:jc w:val="center"/>
                  </w:pPr>
                  <w:r>
                    <w:t xml:space="preserve">KNOWLEDGE</w:t>
                  </w:r>
                </w:p>
              </w:tc>
              <w:tc>
                <w:tcPr/>
                <w:p>
                  <w:pPr>
                    <w:pStyle w:val="Compact"/>
                    <w:jc w:val="left"/>
                    <w:jc w:val="center"/>
                  </w:pPr>
                  <w:r>
                    <w:t xml:space="preserve">K5</w:t>
                  </w:r>
                </w:p>
              </w:tc>
              <w:tc>
                <w:tcPr/>
                <w:p>
                  <w:pPr>
                    <w:pStyle w:val="Compact"/>
                    <w:jc w:val="right"/>
                    <w:jc w:val="center"/>
                  </w:pPr>
                  <w:r>
                    <w:t xml:space="preserve">19</w:t>
                  </w:r>
                </w:p>
              </w:tc>
              <w:tc>
                <w:tcPr/>
                <w:p>
                  <w:pPr>
                    <w:pStyle w:val="Compact"/>
                    <w:jc w:val="right"/>
                    <w:jc w:val="center"/>
                  </w:pPr>
                  <w:r>
                    <w:t xml:space="preserve">33.3</w:t>
                  </w:r>
                </w:p>
              </w:tc>
            </w:tr>
            <w:tr>
              <w:tc>
                <w:tcPr/>
                <w:p>
                  <w:pPr>
                    <w:pStyle w:val="Compact"/>
                    <w:jc w:val="left"/>
                    <w:jc w:val="center"/>
                  </w:pPr>
                  <w:r>
                    <w:t xml:space="preserve">EXPERIENCE</w:t>
                  </w:r>
                </w:p>
              </w:tc>
              <w:tc>
                <w:tcPr/>
                <w:p>
                  <w:pPr>
                    <w:pStyle w:val="Compact"/>
                    <w:jc w:val="left"/>
                    <w:jc w:val="center"/>
                  </w:pPr>
                  <w:r>
                    <w:t xml:space="preserve">E1</w:t>
                  </w:r>
                </w:p>
              </w:tc>
              <w:tc>
                <w:tcPr/>
                <w:p>
                  <w:pPr>
                    <w:pStyle w:val="Compact"/>
                    <w:jc w:val="right"/>
                    <w:jc w:val="center"/>
                  </w:pPr>
                  <w:r>
                    <w:t xml:space="preserve">43</w:t>
                  </w:r>
                </w:p>
              </w:tc>
              <w:tc>
                <w:tcPr/>
                <w:p>
                  <w:pPr>
                    <w:pStyle w:val="Compact"/>
                    <w:jc w:val="right"/>
                    <w:jc w:val="center"/>
                  </w:pPr>
                  <w:r>
                    <w:t xml:space="preserve">75.4</w:t>
                  </w:r>
                </w:p>
              </w:tc>
            </w:tr>
            <w:tr>
              <w:tc>
                <w:tcPr/>
                <w:p>
                  <w:pPr>
                    <w:pStyle w:val="Compact"/>
                    <w:jc w:val="left"/>
                    <w:jc w:val="center"/>
                  </w:pPr>
                  <w:r>
                    <w:t xml:space="preserve">STATUTORY_POSITION</w:t>
                  </w:r>
                </w:p>
              </w:tc>
              <w:tc>
                <w:tcPr/>
                <w:p>
                  <w:pPr>
                    <w:pStyle w:val="Compact"/>
                    <w:jc w:val="left"/>
                    <w:jc w:val="center"/>
                  </w:pPr>
                  <w:r>
                    <w:t xml:space="preserve">SP2</w:t>
                  </w:r>
                </w:p>
              </w:tc>
              <w:tc>
                <w:tcPr/>
                <w:p>
                  <w:pPr>
                    <w:pStyle w:val="Compact"/>
                    <w:jc w:val="right"/>
                    <w:jc w:val="center"/>
                  </w:pPr>
                  <w:r>
                    <w:t xml:space="preserve">2</w:t>
                  </w:r>
                </w:p>
              </w:tc>
              <w:tc>
                <w:tcPr/>
                <w:p>
                  <w:pPr>
                    <w:pStyle w:val="Compact"/>
                    <w:jc w:val="right"/>
                    <w:jc w:val="center"/>
                  </w:pPr>
                  <w:r>
                    <w:t xml:space="preserve">3.5</w:t>
                  </w:r>
                </w:p>
              </w:tc>
            </w:tr>
          </w:tbl>
          <w:bookmarkEnd w:id="84"/>
          <w:p/>
        </w:tc>
      </w:tr>
    </w:tbl>
    <w:bookmarkEnd w:id="85"/>
    <w:bookmarkStart w:id="86" w:name="codes-with-sparse-coverage"/>
    <w:p>
      <w:pPr>
        <w:pStyle w:val="Heading2"/>
      </w:pPr>
      <w:r>
        <w:t xml:space="preserve">10.3 Codes with sparse coverage</w:t>
      </w:r>
    </w:p>
    <w:p>
      <w:pPr>
        <w:pStyle w:val="FirstParagraph"/>
      </w:pPr>
      <w:r>
        <w:t xml:space="preserve">Codes appearing in 3 or fewer JDs across the corpus:</w:t>
      </w:r>
    </w:p>
    <w:p>
      <w:pPr>
        <w:pStyle w:val="Compact"/>
        <w:numPr>
          <w:ilvl w:val="0"/>
          <w:numId w:val="1011"/>
        </w:numPr>
      </w:pPr>
      <w:r>
        <w:t xml:space="preserve">DP9 (coaching/mentoring orientation as trait): 2 JDs</w:t>
      </w:r>
    </w:p>
    <w:p>
      <w:pPr>
        <w:pStyle w:val="Compact"/>
        <w:numPr>
          <w:ilvl w:val="0"/>
          <w:numId w:val="1011"/>
        </w:numPr>
      </w:pPr>
      <w:r>
        <w:t xml:space="preserve">DP16 (inclusive leadership): 1 JD</w:t>
      </w:r>
    </w:p>
    <w:p>
      <w:pPr>
        <w:pStyle w:val="Compact"/>
        <w:numPr>
          <w:ilvl w:val="0"/>
          <w:numId w:val="1011"/>
        </w:numPr>
      </w:pPr>
      <w:r>
        <w:t xml:space="preserve">DP4 (results-oriented): 2 JDs</w:t>
      </w:r>
    </w:p>
    <w:p>
      <w:pPr>
        <w:pStyle w:val="Compact"/>
        <w:numPr>
          <w:ilvl w:val="0"/>
          <w:numId w:val="1011"/>
        </w:numPr>
      </w:pPr>
      <w:r>
        <w:t xml:space="preserve">K7 (continuous improvement methodology): 2 JDs</w:t>
      </w:r>
    </w:p>
    <w:p>
      <w:pPr>
        <w:pStyle w:val="Compact"/>
        <w:numPr>
          <w:ilvl w:val="0"/>
          <w:numId w:val="1011"/>
        </w:numPr>
      </w:pPr>
      <w:r>
        <w:t xml:space="preserve">K3 (electrical legislation knowledge): 1 JD</w:t>
      </w:r>
    </w:p>
    <w:p>
      <w:pPr>
        <w:pStyle w:val="Compact"/>
        <w:numPr>
          <w:ilvl w:val="0"/>
          <w:numId w:val="1011"/>
        </w:numPr>
      </w:pPr>
      <w:r>
        <w:t xml:space="preserve">K10 (product specifications): 1 JD</w:t>
      </w:r>
    </w:p>
    <w:p>
      <w:pPr>
        <w:pStyle w:val="Compact"/>
        <w:numPr>
          <w:ilvl w:val="0"/>
          <w:numId w:val="1011"/>
        </w:numPr>
      </w:pPr>
      <w:r>
        <w:t xml:space="preserve">E12 (equipment brand specialism): 1 JD</w:t>
      </w:r>
    </w:p>
    <w:p>
      <w:pPr>
        <w:pStyle w:val="Compact"/>
        <w:numPr>
          <w:ilvl w:val="0"/>
          <w:numId w:val="1011"/>
        </w:numPr>
      </w:pPr>
      <w:r>
        <w:t xml:space="preserve">E14 (multi-shift roster experience): 1 JD</w:t>
      </w:r>
    </w:p>
    <w:p>
      <w:pPr>
        <w:pStyle w:val="Compact"/>
        <w:numPr>
          <w:ilvl w:val="0"/>
          <w:numId w:val="1011"/>
        </w:numPr>
      </w:pPr>
      <w:r>
        <w:t xml:space="preserve">Q13 (White Card): 1 JD</w:t>
      </w:r>
    </w:p>
    <w:p>
      <w:pPr>
        <w:pStyle w:val="Compact"/>
        <w:numPr>
          <w:ilvl w:val="0"/>
          <w:numId w:val="1011"/>
        </w:numPr>
      </w:pPr>
      <w:r>
        <w:t xml:space="preserve">Q15 (Explosives Security Clearance): 1 JD</w:t>
      </w:r>
    </w:p>
    <w:p>
      <w:pPr>
        <w:pStyle w:val="Compact"/>
        <w:numPr>
          <w:ilvl w:val="0"/>
          <w:numId w:val="1011"/>
        </w:numPr>
      </w:pPr>
      <w:r>
        <w:t xml:space="preserve">Q19 (Frontline Management certification): 1 JD</w:t>
      </w:r>
    </w:p>
    <w:p>
      <w:pPr>
        <w:pStyle w:val="Compact"/>
        <w:numPr>
          <w:ilvl w:val="0"/>
          <w:numId w:val="1011"/>
        </w:numPr>
      </w:pPr>
      <w:r>
        <w:t xml:space="preserve">Q20 (Shotfirer accreditation): 1 JD</w:t>
      </w:r>
    </w:p>
    <w:p>
      <w:pPr>
        <w:pStyle w:val="Compact"/>
        <w:numPr>
          <w:ilvl w:val="0"/>
          <w:numId w:val="1011"/>
        </w:numPr>
      </w:pPr>
      <w:r>
        <w:t xml:space="preserve">SP8 (Statutory UG Shift Supervisor): 1 JD</w:t>
      </w:r>
    </w:p>
    <w:p>
      <w:pPr>
        <w:pStyle w:val="Compact"/>
        <w:numPr>
          <w:ilvl w:val="0"/>
          <w:numId w:val="1011"/>
        </w:numPr>
      </w:pPr>
      <w:r>
        <w:t xml:space="preserve">SP9 (Shotfirer position): 1 JD</w:t>
      </w:r>
    </w:p>
    <w:p>
      <w:pPr>
        <w:pStyle w:val="FirstParagraph"/>
      </w:pPr>
      <w:r>
        <w:t xml:space="preserve">These codes are retained in the codebook for completeness but should be treated as illustrative rather than typical.</w:t>
      </w:r>
    </w:p>
    <w:bookmarkEnd w:id="86"/>
    <w:bookmarkEnd w:id="87"/>
    <w:bookmarkStart w:id="88" w:name="appendix-a-codebook-v1.0-summary"/>
    <w:p>
      <w:pPr>
        <w:pStyle w:val="Heading1"/>
      </w:pPr>
      <w:r>
        <w:t xml:space="preserve">11. Appendix A: Codebook v1.0 (summary)</w:t>
      </w:r>
    </w:p>
    <w:p>
      <w:pPr>
        <w:pStyle w:val="FirstParagraph"/>
      </w:pPr>
      <w:r>
        <w:t xml:space="preserve">The full codebook is available at</w:t>
      </w:r>
      <w:r>
        <w:t xml:space="preserve"> </w:t>
      </w:r>
      <w:r>
        <w:rPr>
          <w:rStyle w:val="VerbatimChar"/>
        </w:rPr>
        <w:t xml:space="preserve">analysis/codebook/codebook_v1.0.md</w:t>
      </w:r>
      <w:r>
        <w:t xml:space="preserve">. The 87 codes are organised as follows:</w:t>
      </w:r>
    </w:p>
    <w:p>
      <w:pPr>
        <w:pStyle w:val="Compact"/>
        <w:numPr>
          <w:ilvl w:val="0"/>
          <w:numId w:val="1012"/>
        </w:numPr>
      </w:pPr>
      <w:r>
        <w:rPr>
          <w:b/>
          <w:bCs/>
        </w:rPr>
        <w:t xml:space="preserve">Duties (18):</w:t>
      </w:r>
      <w:r>
        <w:t xml:space="preserve"> </w:t>
      </w:r>
      <w:r>
        <w:t xml:space="preserve">leadership and people management (D1 to D3), safety and compliance (D4 to D6), operations and production (D7 to D9), strategy and admin (D10 to D12), specialised functions (D13 to D18).</w:t>
      </w:r>
    </w:p>
    <w:p>
      <w:pPr>
        <w:pStyle w:val="Compact"/>
        <w:numPr>
          <w:ilvl w:val="0"/>
          <w:numId w:val="1012"/>
        </w:numPr>
      </w:pPr>
      <w:r>
        <w:rPr>
          <w:b/>
          <w:bCs/>
        </w:rPr>
        <w:t xml:space="preserve">Dispositions (16):</w:t>
      </w:r>
      <w:r>
        <w:t xml:space="preserve"> </w:t>
      </w:r>
      <w:r>
        <w:t xml:space="preserve">DP1 to DP16, ordered roughly by frequency in the corpus.</w:t>
      </w:r>
    </w:p>
    <w:p>
      <w:pPr>
        <w:pStyle w:val="Compact"/>
        <w:numPr>
          <w:ilvl w:val="0"/>
          <w:numId w:val="1012"/>
        </w:numPr>
      </w:pPr>
      <w:r>
        <w:rPr>
          <w:b/>
          <w:bCs/>
        </w:rPr>
        <w:t xml:space="preserve">Qualifications (20):</w:t>
      </w:r>
      <w:r>
        <w:t xml:space="preserve"> </w:t>
      </w:r>
      <w:r>
        <w:t xml:space="preserve">statutory tickets (Q1 to Q5), medical and first aid (Q6 to Q7), training and certifications (Q8 to Q10), licences and clearances (Q11 to Q15), site and equipment (Q16 to Q17), leadership credentials (Q18 to Q20).</w:t>
      </w:r>
    </w:p>
    <w:p>
      <w:pPr>
        <w:pStyle w:val="Compact"/>
        <w:numPr>
          <w:ilvl w:val="0"/>
          <w:numId w:val="1012"/>
        </w:numPr>
      </w:pPr>
      <w:r>
        <w:rPr>
          <w:b/>
          <w:bCs/>
        </w:rPr>
        <w:t xml:space="preserve">Knowledge (10):</w:t>
      </w:r>
      <w:r>
        <w:t xml:space="preserve"> </w:t>
      </w:r>
      <w:r>
        <w:t xml:space="preserve">legislative (K1 to K3), equipment and systems (K4 to K5), methodology (K6 to K7), domain-specific (K8 to K10).</w:t>
      </w:r>
    </w:p>
    <w:p>
      <w:pPr>
        <w:pStyle w:val="Compact"/>
        <w:numPr>
          <w:ilvl w:val="0"/>
          <w:numId w:val="1012"/>
        </w:numPr>
      </w:pPr>
      <w:r>
        <w:rPr>
          <w:b/>
          <w:bCs/>
        </w:rPr>
        <w:t xml:space="preserve">Experience (14):</w:t>
      </w:r>
      <w:r>
        <w:t xml:space="preserve"> </w:t>
      </w:r>
      <w:r>
        <w:t xml:space="preserve">quantified background (E1 to E2), sector experience (E3 to E6), context (E7 to E14).</w:t>
      </w:r>
    </w:p>
    <w:p>
      <w:pPr>
        <w:pStyle w:val="Compact"/>
        <w:numPr>
          <w:ilvl w:val="0"/>
          <w:numId w:val="1012"/>
        </w:numPr>
      </w:pPr>
      <w:r>
        <w:rPr>
          <w:b/>
          <w:bCs/>
        </w:rPr>
        <w:t xml:space="preserve">Statutory positions (9):</w:t>
      </w:r>
      <w:r>
        <w:t xml:space="preserve"> </w:t>
      </w:r>
      <w:r>
        <w:t xml:space="preserve">CMSHA-defined (SP1 to SP5), QMSHA-defined and other (SP6 to SP9).</w:t>
      </w:r>
    </w:p>
    <w:bookmarkEnd w:id="88"/>
    <w:bookmarkStart w:id="89" w:name="appendix-b-coding-sheet"/>
    <w:p>
      <w:pPr>
        <w:pStyle w:val="Heading1"/>
      </w:pPr>
      <w:r>
        <w:t xml:space="preserve">12. Appendix B: Coding sheet</w:t>
      </w:r>
    </w:p>
    <w:p>
      <w:pPr>
        <w:pStyle w:val="FirstParagraph"/>
      </w:pPr>
      <w:r>
        <w:t xml:space="preserve">The full coding sheet is available at</w:t>
      </w:r>
      <w:r>
        <w:t xml:space="preserve"> </w:t>
      </w:r>
      <w:r>
        <w:rPr>
          <w:rStyle w:val="VerbatimChar"/>
        </w:rPr>
        <w:t xml:space="preserve">analysis/coded_data/coded_jds.csv</w:t>
      </w:r>
      <w:r>
        <w:t xml:space="preserve">. Each row is one</w:t>
      </w:r>
      <w:r>
        <w:t xml:space="preserve"> </w:t>
      </w:r>
      <w:r>
        <w:rPr>
          <w:rStyle w:val="VerbatimChar"/>
        </w:rPr>
        <w:t xml:space="preserve">(JD, category, code, evidence)</w:t>
      </w:r>
      <w:r>
        <w:t xml:space="preserve"> </w:t>
      </w:r>
      <w:r>
        <w:t xml:space="preserve">instance with sector, role type, required flag, and confidence. Total: 812 rows across 57 JDs.</w:t>
      </w:r>
    </w:p>
    <w:bookmarkEnd w:id="89"/>
    <w:sectPr w:rsidR="00FC693F" w:rsidRPr="0006063C" w:rsidSect="00034616">
      <w:footerReference r:id="rId9" w:type="default"/>
      <w:headerReference r:id="rId10" w:type="default"/>
      <w:pgSz w:h="15840" w:w="12240"/>
      <w:pgMar w:bottom="1417" w:footer="720" w:gutter="0" w:header="720" w:left="1417" w:right="1417" w:top="1417"/>
      <w:cols w:space="720"/>
      <w:docGrid w:linePitch="36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55555"/>
        <w:sz w:val="18"/>
      </w:rPr>
      <w:t>QLD Mining Supervisor JD Analysis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before="0" w:line="312" w:lineRule="auto"/>
      <w:pBdr>
        <w:top w:val="nil"/>
        <w:bottom w:val="nil"/>
        <w:left w:val="nil"/>
        <w:right w:val="nil"/>
        <w:between w:val="nil"/>
      </w:pBdr>
    </w:pPr>
    <w:rPr>
      <w:rFonts w:ascii="Calibri" w:cs="Calibri" w:eastAsia="Calibri" w:hAnsi="Calibri"/>
      <w:b w:val="0"/>
      <w:i w:val="0"/>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280" w:before="480" w:line="264" w:lineRule="auto"/>
      <w:outlineLvl w:val="0"/>
      <w:pBdr>
        <w:top w:val="nil"/>
        <w:left w:val="nil"/>
        <w:right w:val="nil"/>
        <w:between w:val="nil"/>
        <w:bottom w:color="BB9D65" w:space="6" w:sz="4" w:val="single"/>
      </w:pBdr>
    </w:pPr>
    <w:rPr>
      <w:rFonts w:ascii="Calibri" w:asciiTheme="majorHAnsi" w:cs="Calibri" w:cstheme="majorBidi" w:eastAsia="Calibri" w:eastAsiaTheme="majorEastAsia" w:hAnsi="Calibri" w:hAnsiTheme="majorHAnsi"/>
      <w:b/>
      <w:bCs/>
      <w:i w:val="0"/>
      <w:color w:val="51247A"/>
      <w:sz w:val="48"/>
      <w:szCs w:val="28"/>
    </w:rPr>
  </w:style>
  <w:style w:styleId="Heading2" w:type="paragraph">
    <w:name w:val="heading 2"/>
    <w:basedOn w:val="Normal"/>
    <w:next w:val="Normal"/>
    <w:link w:val="Heading2Char"/>
    <w:uiPriority w:val="9"/>
    <w:unhideWhenUsed/>
    <w:qFormat/>
    <w:rsid w:val="00FC693F"/>
    <w:pPr>
      <w:keepNext/>
      <w:keepLines/>
      <w:spacing w:after="240" w:before="400" w:line="276" w:lineRule="auto"/>
      <w:outlineLvl w:val="1"/>
      <w:pBdr>
        <w:top w:val="nil"/>
        <w:bottom w:val="nil"/>
        <w:left w:val="nil"/>
        <w:right w:val="nil"/>
        <w:between w:val="nil"/>
      </w:pBdr>
    </w:pPr>
    <w:rPr>
      <w:rFonts w:ascii="Calibri" w:asciiTheme="majorHAnsi" w:cs="Calibri" w:cstheme="majorBidi" w:eastAsia="Calibri" w:eastAsiaTheme="majorEastAsia" w:hAnsi="Calibri" w:hAnsiTheme="majorHAnsi"/>
      <w:b/>
      <w:bCs/>
      <w:i w:val="0"/>
      <w:color w:val="51247A"/>
      <w:sz w:val="32"/>
      <w:szCs w:val="26"/>
    </w:rPr>
  </w:style>
  <w:style w:styleId="Heading3" w:type="paragraph">
    <w:name w:val="heading 3"/>
    <w:basedOn w:val="Normal"/>
    <w:next w:val="Normal"/>
    <w:link w:val="Heading3Char"/>
    <w:uiPriority w:val="9"/>
    <w:unhideWhenUsed/>
    <w:qFormat/>
    <w:rsid w:val="00FC693F"/>
    <w:pPr>
      <w:keepNext/>
      <w:keepLines/>
      <w:spacing w:after="160" w:before="280" w:line="276" w:lineRule="auto"/>
      <w:outlineLvl w:val="2"/>
      <w:pBdr>
        <w:top w:val="nil"/>
        <w:bottom w:val="nil"/>
        <w:left w:val="nil"/>
        <w:right w:val="nil"/>
        <w:between w:val="nil"/>
      </w:pBdr>
    </w:pPr>
    <w:rPr>
      <w:rFonts w:ascii="Calibri" w:asciiTheme="majorHAnsi" w:cs="Calibri" w:cstheme="majorBidi" w:eastAsia="Calibri" w:eastAsiaTheme="majorEastAsia" w:hAnsi="Calibri" w:hAnsiTheme="majorHAnsi"/>
      <w:b/>
      <w:bCs/>
      <w:i w:val="0"/>
      <w:color w:val="555555"/>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spacing w:after="160" w:before="2400" w:line="252" w:lineRule="auto"/>
      <w:contextualSpacing/>
      <w:jc w:val="left"/>
      <w:pBdr>
        <w:top w:val="nil"/>
        <w:bottom w:val="nil"/>
        <w:left w:val="nil"/>
        <w:right w:val="nil"/>
        <w:between w:val="nil"/>
      </w:pBdr>
    </w:pPr>
    <w:rPr>
      <w:rFonts w:ascii="Calibri" w:asciiTheme="majorHAnsi" w:cs="Calibri" w:cstheme="majorBidi" w:eastAsia="Calibri" w:eastAsiaTheme="majorEastAsia" w:hAnsi="Calibri" w:hAnsiTheme="majorHAnsi"/>
      <w:b/>
      <w:i w:val="0"/>
      <w:color w:val="51247A"/>
      <w:spacing w:val="5"/>
      <w:kern w:val="28"/>
      <w:sz w:val="8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560" w:before="0" w:line="312" w:lineRule="auto"/>
      <w:jc w:val="left"/>
      <w:pBdr>
        <w:top w:val="nil"/>
        <w:left w:val="nil"/>
        <w:right w:val="nil"/>
        <w:between w:val="nil"/>
        <w:bottom w:color="BB9D65" w:space="10" w:sz="24" w:val="single"/>
      </w:pBdr>
    </w:pPr>
    <w:rPr>
      <w:rFonts w:ascii="Calibri" w:asciiTheme="majorHAnsi" w:cs="Calibri" w:cstheme="majorBidi" w:eastAsia="Calibri" w:eastAsiaTheme="majorEastAsia" w:hAnsi="Calibri" w:hAnsiTheme="majorHAnsi"/>
      <w:b w:val="0"/>
      <w:i/>
      <w:iCs/>
      <w:color w:val="555555"/>
      <w:spacing w:val="15"/>
      <w:sz w:val="3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80" w:before="320" w:line="276" w:lineRule="auto"/>
      <w:pBdr>
        <w:top w:val="nil"/>
        <w:bottom w:val="nil"/>
        <w:left w:val="nil"/>
        <w:right w:val="nil"/>
        <w:between w:val="nil"/>
      </w:pBdr>
    </w:pPr>
    <w:rPr>
      <w:rFonts w:ascii="Calibri" w:cs="Calibri" w:eastAsia="Calibri" w:hAnsi="Calibri"/>
      <w:b w:val="0"/>
      <w:bCs/>
      <w:i/>
      <w:color w:val="555555"/>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pageBreakBefore/>
      <w:spacing w:after="280" w:before="480" w:line="276" w:lineRule="auto"/>
      <w:outlineLvl w:val="9"/>
      <w:pBdr>
        <w:top w:val="nil"/>
        <w:left w:val="nil"/>
        <w:right w:val="nil"/>
        <w:between w:val="nil"/>
        <w:bottom w:color="BB9D65" w:space="6" w:sz="4" w:val="single"/>
      </w:pBdr>
    </w:pPr>
    <w:rPr>
      <w:rFonts w:ascii="Calibri" w:cs="Calibri" w:eastAsia="Calibri" w:hAnsi="Calibri"/>
      <w:b/>
      <w:i w:val="0"/>
      <w:color w:val="51247A"/>
      <w:sz w:val="44"/>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Author" w:type="paragraph">
    <w:name w:val="Author"/>
    <w:pPr>
      <w:spacing w:after="80" w:before="400" w:line="288" w:lineRule="auto"/>
      <w:pBdr>
        <w:top w:val="nil"/>
        <w:bottom w:val="nil"/>
        <w:left w:val="nil"/>
        <w:right w:val="nil"/>
        <w:between w:val="nil"/>
      </w:pBdr>
    </w:pPr>
    <w:rPr>
      <w:rFonts w:ascii="Calibri" w:cs="Calibri" w:eastAsia="Calibri" w:hAnsi="Calibri"/>
      <w:b/>
      <w:i w:val="0"/>
      <w:color w:val="51247A"/>
      <w:sz w:val="28"/>
    </w:rPr>
  </w:style>
  <w:style w:customStyle="1" w:styleId="Date" w:type="paragraph">
    <w:name w:val="Date"/>
    <w:pPr>
      <w:spacing w:after="80" w:before="0" w:line="288" w:lineRule="auto"/>
      <w:pBdr>
        <w:top w:val="nil"/>
        <w:bottom w:val="nil"/>
        <w:left w:val="nil"/>
        <w:right w:val="nil"/>
        <w:between w:val="nil"/>
      </w:pBdr>
    </w:pPr>
    <w:rPr>
      <w:rFonts w:ascii="Calibri" w:cs="Calibri" w:eastAsia="Calibri" w:hAnsi="Calibri"/>
      <w:b w:val="0"/>
      <w:i w:val="0"/>
      <w:color w:val="555555"/>
      <w:sz w:val="24"/>
    </w:rPr>
  </w:style>
  <w:style w:default="1" w:styleId="TableNormal" w:type="table">
    <w:name w:val="Normal Table"/>
    <w:uiPriority w:val="99"/>
    <w:semiHidden/>
    <w:unhideWhenUsed/>
    <w:pPr>
      <w:jc w:val="left"/>
    </w:pPr>
    <w:tblPr>
      <w:tblInd w:type="dxa" w:w="0"/>
      <w:tblCellMar>
        <w:top w:type="dxa" w:w="0"/>
        <w:left w:type="dxa" w:w="108"/>
        <w:bottom w:type="dxa" w:w="0"/>
        <w:right w:type="dxa" w:w="108"/>
      </w:tblCellMar>
    </w:tblPr>
  </w:style>
  <w:style w:customStyle="0" w:styleId="Table" w:type="table">
    <w:name w:val="Table"/>
    <w:basedOn w:val="TableNormal"/>
    <w:uiPriority w:val="59"/>
    <w:pPr>
      <w:spacing w:after="80" w:before="80"/>
      <w:jc w:val="left"/>
    </w:pPr>
    <w:rPr>
      <w:rFonts w:ascii="Calibri" w:cs="Calibri" w:hAnsi="Calibri"/>
      <w:sz w:val="20"/>
      <w:color w:val="1A1A1A"/>
    </w:rPr>
    <w:tblPr>
      <w:tblBorders>
        <w:top w:color="1A1A1A" w:space="0" w:sz="4" w:val="single"/>
        <w:bottom w:color="1A1A1A" w:space="0" w:sz="4" w:val="single"/>
        <w:left w:val="nil"/>
        <w:right w:val="nil"/>
        <w:insideH w:val="nil"/>
        <w:insideV w:val="nil"/>
      </w:tblBorders>
      <w:tblCellMar>
        <w:top w:type="dxa" w:w="100"/>
        <w:left w:type="dxa" w:w="120"/>
        <w:bottom w:type="dxa" w:w="100"/>
        <w:right w:type="dxa" w:w="120"/>
      </w:tblCellMar>
    </w:tblPr>
    <w:tblStylePr w:type="firstRow">
      <w:pPr>
        <w:jc w:val="left"/>
      </w:pPr>
      <w:rPr>
        <w:b/>
        <w:color w:val="51247A"/>
      </w:rPr>
      <w:tcPr>
        <w:tcBorders>
          <w:bottom w:color="1A1A1A" w:space="0" w:sz="4" w:val="single"/>
        </w:tcBorders>
      </w:tcPr>
    </w:tblStylePr>
  </w:style>
  <w:style w:customStyle="0" w:styleId="Compact" w:type="table">
    <w:name w:val="Compact"/>
    <w:basedOn w:val="TableNormal"/>
    <w:uiPriority w:val="59"/>
    <w:pPr>
      <w:spacing w:after="80" w:before="80"/>
      <w:jc w:val="left"/>
    </w:pPr>
    <w:rPr>
      <w:rFonts w:ascii="Calibri" w:cs="Calibri" w:hAnsi="Calibri"/>
      <w:sz w:val="20"/>
      <w:color w:val="1A1A1A"/>
    </w:rPr>
    <w:tblPr>
      <w:tblBorders>
        <w:top w:color="1A1A1A" w:space="0" w:sz="4" w:val="single"/>
        <w:bottom w:color="1A1A1A" w:space="0" w:sz="4" w:val="single"/>
        <w:left w:val="nil"/>
        <w:right w:val="nil"/>
        <w:insideH w:val="nil"/>
        <w:insideV w:val="nil"/>
      </w:tblBorders>
      <w:tblCellMar>
        <w:top w:type="dxa" w:w="100"/>
        <w:left w:type="dxa" w:w="120"/>
        <w:bottom w:type="dxa" w:w="100"/>
        <w:right w:type="dxa" w:w="120"/>
      </w:tblCellMar>
    </w:tblPr>
    <w:tblStylePr w:type="firstRow">
      <w:pPr>
        <w:jc w:val="left"/>
      </w:pPr>
      <w:rPr>
        <w:b/>
        <w:color w:val="51247A"/>
      </w:rPr>
      <w:tcPr>
        <w:tcBorders>
          <w:bottom w:color="1A1A1A" w:space="0" w:sz="4" w:val="single"/>
        </w:tcBorders>
      </w:tcPr>
    </w:tblStylePr>
  </w:style>
  <w:style w:customStyle="0" w:styleId="Table-APA" w:type="table">
    <w:name w:val="APA Table"/>
    <w:basedOn w:val="TableNormal"/>
    <w:uiPriority w:val="59"/>
    <w:pPr>
      <w:spacing w:after="80" w:before="80"/>
      <w:jc w:val="left"/>
    </w:pPr>
    <w:rPr>
      <w:rFonts w:ascii="Calibri" w:cs="Calibri" w:hAnsi="Calibri"/>
      <w:sz w:val="20"/>
      <w:color w:val="1A1A1A"/>
    </w:rPr>
    <w:tblPr>
      <w:tblBorders>
        <w:top w:color="1A1A1A" w:space="0" w:sz="4" w:val="single"/>
        <w:bottom w:color="1A1A1A" w:space="0" w:sz="4" w:val="single"/>
        <w:left w:val="nil"/>
        <w:right w:val="nil"/>
        <w:insideH w:val="nil"/>
        <w:insideV w:val="nil"/>
      </w:tblBorders>
      <w:tblCellMar>
        <w:top w:type="dxa" w:w="100"/>
        <w:left w:type="dxa" w:w="120"/>
        <w:bottom w:type="dxa" w:w="100"/>
        <w:right w:type="dxa" w:w="120"/>
      </w:tblCellMar>
    </w:tblPr>
    <w:tblStylePr w:type="firstRow">
      <w:pPr>
        <w:jc w:val="left"/>
      </w:pPr>
      <w:rPr>
        <w:b/>
        <w:color w:val="51247A"/>
      </w:rPr>
      <w:tcPr>
        <w:tcBorders>
          <w:bottom w:color="1A1A1A" w:space="0" w:sz="4" w:val="single"/>
        </w:tcBorders>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header" Target="header1.xml"/><Relationship Id="rId46" Type="http://schemas.openxmlformats.org/officeDocument/2006/relationships/image" Target="media/rId46.png"/><Relationship Id="rId36" Type="http://schemas.openxmlformats.org/officeDocument/2006/relationships/image" Target="media/rId36.png"/><Relationship Id="rId76" Type="http://schemas.openxmlformats.org/officeDocument/2006/relationships/image" Target="media/rId76.png"/><Relationship Id="rId66" Type="http://schemas.openxmlformats.org/officeDocument/2006/relationships/image" Target="media/rId66.png"/><Relationship Id="rId56" Type="http://schemas.openxmlformats.org/officeDocument/2006/relationships/image" Target="media/rId56.png"/><Relationship Id="rId42" Type="http://schemas.openxmlformats.org/officeDocument/2006/relationships/image" Target="media/rId42.png"/><Relationship Id="rId32" Type="http://schemas.openxmlformats.org/officeDocument/2006/relationships/image" Target="media/rId32.png"/><Relationship Id="rId72" Type="http://schemas.openxmlformats.org/officeDocument/2006/relationships/image" Target="media/rId72.png"/><Relationship Id="rId62" Type="http://schemas.openxmlformats.org/officeDocument/2006/relationships/image" Target="media/rId62.png"/><Relationship Id="rId52" Type="http://schemas.openxmlformats.org/officeDocument/2006/relationships/image" Target="media/rId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QLD Mining Supervisor</dc:title>
  <dc:creator>Brooklyn Corbett</dc:creator>
  <cp:keywords/>
  <dcterms:created xsi:type="dcterms:W3CDTF">2026-05-19T03:07:05Z</dcterms:created>
  <dcterms:modified xsi:type="dcterms:W3CDTF">2026-05-19T03:07:05Z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2026-05-19</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Job Description Analysis: content analysis of 57 job descriptions across coal, minerals and quarry sectors</vt:lpwstr>
  </property>
  <property fmtid="{D5CDD505-2E9C-101B-9397-08002B2CF9AE}" pid="13" name="toc-title">
    <vt:lpwstr>Table of contents</vt:lpwstr>
  </property>
</Properties>
</file>