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86.png" ContentType="image/png"/>
  <Override PartName="/word/media/rId90.png" ContentType="image/png"/>
  <Override PartName="/word/media/rId124.png" ContentType="image/png"/>
  <Override PartName="/word/media/rId80.png" ContentType="image/png"/>
  <Override PartName="/word/media/rId74.png" ContentType="image/png"/>
  <Override PartName="/word/media/rId122.png" ContentType="image/png"/>
  <Override PartName="/word/media/rId72.png" ContentType="image/png"/>
  <Override PartName="/word/media/rId137.png" ContentType="image/png"/>
  <Override PartName="/word/media/rId48.png" ContentType="image/png"/>
  <Override PartName="/word/media/rId145.png" ContentType="image/png"/>
  <Override PartName="/word/media/rId104.png" ContentType="image/png"/>
  <Override PartName="/word/media/rId138.png" ContentType="image/png"/>
  <Override PartName="/word/media/rId170.png" ContentType="image/png"/>
  <Override PartName="/word/media/rId174.png" ContentType="image/png"/>
  <Override PartName="/word/media/rId100.png" ContentType="image/png"/>
  <Override PartName="/word/media/rId89.png" ContentType="image/png"/>
  <Override PartName="/word/media/rId88.png" ContentType="image/png"/>
  <Override PartName="/word/media/rId96.png" ContentType="image/png"/>
  <Override PartName="/word/media/rId151.png" ContentType="image/png"/>
  <Override PartName="/word/media/rId45.png" ContentType="image/png"/>
  <Override PartName="/word/media/rId140.png" ContentType="image/png"/>
  <Override PartName="/word/media/rId139.png" ContentType="image/png"/>
  <Override PartName="/word/media/rId135.png" ContentType="image/png"/>
  <Override PartName="/word/media/rId147.png" ContentType="image/png"/>
  <Override PartName="/word/media/rId150.png" ContentType="image/png"/>
  <Override PartName="/word/media/rId125.png" ContentType="image/png"/>
  <Override PartName="/word/media/rId94.png" ContentType="image/png"/>
  <Override PartName="/word/media/rId56.png" ContentType="image/png"/>
  <Override PartName="/word/media/rId57.png" ContentType="image/png"/>
  <Override PartName="/word/media/rId129.png" ContentType="image/png"/>
  <Override PartName="/word/media/rId84.png" ContentType="image/png"/>
  <Override PartName="/word/media/rId83.png" ContentType="image/png"/>
  <Override PartName="/word/media/rId134.png" ContentType="image/png"/>
  <Override PartName="/word/media/rId166.png" ContentType="image/png"/>
  <Override PartName="/word/media/rId41.png" ContentType="image/png"/>
  <Override PartName="/word/media/rId66.png" ContentType="image/png"/>
  <Override PartName="/word/media/rId108.png" ContentType="image/png"/>
  <Override PartName="/word/media/rId58.png" ContentType="image/png"/>
  <Override PartName="/word/media/rId75.png" ContentType="image/png"/>
  <Override PartName="/word/media/rId99.png" ContentType="image/png"/>
  <Override PartName="/word/media/rId169.png" ContentType="image/png"/>
  <Override PartName="/word/media/rId85.png" ContentType="image/png"/>
  <Override PartName="/word/media/rId163.png" ContentType="image/png"/>
  <Override PartName="/word/media/rId49.png" ContentType="image/png"/>
  <Override PartName="/word/media/rId154.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2019-09-02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br/>
      </w:r>
      <w:r>
        <w:t xml:space="preserve">Brooks</w:t>
      </w:r>
    </w:p>
    <w:p>
      <w:pPr>
        <w:pStyle w:val="Heading2"/>
      </w:pPr>
      <w:bookmarkStart w:id="23" w:name="abstracts"/>
      <w:r>
        <w:t xml:space="preserve">Abstracts</w:t>
      </w:r>
      <w:bookmarkEnd w:id="23"/>
    </w:p>
    <w:p>
      <w:pPr>
        <w:pStyle w:val="Heading3"/>
      </w:pPr>
      <w:bookmarkStart w:id="24" w:name="X32550fa870cc2a5fdafbe537ce7f461c1e73407"/>
      <w:r>
        <w:t xml:space="preserve">What to Read? How the Archive pits Profession against Education</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(ref:abs-gen) 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I then perform content analysis on a stratified sample of classified texts to compare their different uses of the term genre. In an examination of the benefits and hazards of such a distant reading approach, I outline a battery of diagnostics to examine the validity of the topic model from both quantitative and qualitative perspectives. Through a combination of machine distant reading and human close reading, I arrive at a schema of five theories of the term genre. In an argument for pandisciplinarity, I conclude with an analysis of the logical possibility of new metaconcepts of genre that satisfy the strictures of multiple disciplines.</w:t>
      </w:r>
    </w:p>
    <w:p>
      <w:pPr>
        <w:pStyle w:val="BodyText"/>
      </w:pPr>
      <w:r>
        <w:t xml:space="preserve">(ref:abs-gen)</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f6839d9c86f5ceb15d1778342e3b4a72554fc1f"/>
      <w:r>
        <w:t xml:space="preserve">Vocabularies of Anthropology and Sociology, 1888-1922</w:t>
      </w:r>
      <w:bookmarkEnd w:id="27"/>
    </w:p>
    <w:p>
      <w:pPr>
        <w:pStyle w:val="FirstParagraph"/>
      </w:pPr>
      <w:r>
        <w:t xml:space="preserve">Knowledge development of journals in sociology and anthropology is measured as the change in topic prevalence over time.</w:t>
      </w:r>
    </w:p>
    <w:p>
      <w:pPr>
        <w:pStyle w:val="BodyText"/>
      </w:pPr>
      <w:r>
        <w:rPr>
          <w:b/>
        </w:rPr>
        <w:t xml:space="preserve">Keywords</w:t>
      </w:r>
      <w:r>
        <w:t xml:space="preserve">: sociology of knowledge, topic modeling, history of social science</w:t>
      </w:r>
    </w:p>
    <w:p>
      <w:pPr>
        <w:pStyle w:val="Heading3"/>
      </w:pPr>
      <w:bookmarkStart w:id="28" w:name="X92e16e9f3d22ce5ef67d09dd20bc1916620154a"/>
      <w:r>
        <w:t xml:space="preserve">The Social Science Citation Landscape, 1900-1940</w:t>
      </w:r>
      <w:bookmarkEnd w:id="28"/>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BodyText"/>
      </w:pPr>
      <w:r>
        <w:rPr>
          <w:b/>
        </w:rPr>
        <w:t xml:space="preserve">Keywords</w:t>
      </w:r>
      <w:r>
        <w:t xml:space="preserve">: citations, k-clique communities, community detection, landscape</w:t>
      </w:r>
    </w:p>
    <w:p>
      <w:pPr>
        <w:pStyle w:val="Heading1"/>
      </w:pPr>
      <w:bookmarkStart w:id="29" w:name="int"/>
      <w:r>
        <w:t xml:space="preserve">What to Read? How the Archive pits Profession against Education</w:t>
      </w:r>
      <w:bookmarkEnd w:id="29"/>
    </w:p>
    <w:p>
      <w:pPr>
        <w:pStyle w:val="Heading4"/>
      </w:pPr>
      <w:bookmarkStart w:id="30" w:name="abstract"/>
      <w:r>
        <w:t xml:space="preserve">Abstract</w:t>
      </w:r>
      <w:bookmarkEnd w:id="30"/>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1" w:name="keywords"/>
      <w:r>
        <w:t xml:space="preserve">Keywords</w:t>
      </w:r>
      <w:bookmarkEnd w:id="31"/>
    </w:p>
    <w:p>
      <w:pPr>
        <w:pStyle w:val="FirstParagraph"/>
      </w:pPr>
      <w:r>
        <w:t xml:space="preserve">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Heading2"/>
      </w:pPr>
      <w:bookmarkStart w:id="32" w:name="status-exclusion"/>
      <w:r>
        <w:t xml:space="preserve">Status exclusion</w:t>
      </w:r>
      <w:bookmarkEnd w:id="32"/>
    </w:p>
    <w:p>
      <w:pPr>
        <w:pStyle w:val="FirstParagraph"/>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 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Knowledge qua password is arbitrary with respect to content in that club knowledge is not of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This password structure faces destabilizing threats. The entropic force of the archive has already been mentioned, which by itself stresses scholarly boundaries because anyone can acquire expertise independently of professions and then use that to make claims on club goods. Clubs are able to deflect these claims only when the the symbolic value of the password is not deflated. 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 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BodyText"/>
      </w:pPr>
      <w:r>
        <w:t xml:space="preserve">This functioning of the password system in not how it is experienced by people. Phenomenologically knowledge sets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Heading2"/>
      </w:pPr>
      <w:bookmarkStart w:id="33" w:name="generic-isomorphism"/>
      <w:r>
        <w:t xml:space="preserve">Generic isomorphism</w:t>
      </w:r>
      <w:bookmarkEnd w:id="33"/>
    </w:p>
    <w:p>
      <w:pPr>
        <w:pStyle w:val="FirstParagraph"/>
      </w:pPr>
      <w:r>
        <w:t xml:space="preserve">How does an established scholar know what are the lucrative curricula that can be developed from the archive? 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maps to navigate the maze of the archive.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The argument of this study addresses the question of where such a curriculum comes from.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w:t>
      </w:r>
    </w:p>
    <w:p>
      <w:pPr>
        <w:pStyle w:val="BodyText"/>
      </w:pPr>
      <w:r>
        <w:t xml:space="preserve">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w:t>
      </w:r>
    </w:p>
    <w:p>
      <w:pPr>
        <w:pStyle w:val="Heading2"/>
      </w:pPr>
      <w:bookmarkStart w:id="34" w:name="influence"/>
      <w:r>
        <w:t xml:space="preserve">Influence</w:t>
      </w:r>
      <w:bookmarkEnd w:id="34"/>
    </w:p>
    <w:p>
      <w:pPr>
        <w:pStyle w:val="FirstParagraph"/>
      </w:pPr>
      <w:r>
        <w:t xml:space="preserve">Parsons (</w:t>
      </w:r>
      <w:hyperlink w:anchor="ref-Parsons1963Concept">
        <w:r>
          <w:rPr>
            <w:rStyle w:val="Hyperlink"/>
          </w:rPr>
          <w:t xml:space="preserve">1963</w:t>
        </w:r>
      </w:hyperlink>
      <w:r>
        <w:t xml:space="preserve">)</w:t>
      </w:r>
      <w:r>
        <w:t xml:space="preserve"> </w:t>
      </w:r>
      <w:r>
        <w:t xml:space="preserve">used the term influence to describe generalized knowledge-based authority. Influence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BodyText"/>
      </w:pPr>
      <w:r>
        <w:t xml:space="preserve">There are many more varietes of influence operative in scholarship beside the password system. One of the features of symbolic media is the displacement in time between acquisition and possession. A coffee paid for is socially acquired while one waits for a barista to finish pouring it. In scholarship knowledge tends to be what is transacted, and as with consumer goods, knowledge can be socially acquired prior to its posession. The reputed meaning of texts is an example of acquisition (understanding) without possession (reading). Though above I went to great lengths to argue that the archive is an amazing institutional memory, library technology may paradoxically make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A scholar who is confident that knowledge is safely protected in archives and who believes that it can always be accurately retrieved is relieved of the urgency of digesting it now. 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 Contemporaneous cultures and societies constraining the reader prejudge the meanings of texts.</w:t>
      </w:r>
    </w:p>
    <w:p>
      <w:pPr>
        <w:pStyle w:val="BodyText"/>
      </w:pPr>
      <w:r>
        <w:t xml:space="preserve">While scholars genuflect to a quest for truth, the practical incentive to minimize time spent reading leads to several methods of collusion in the reduction of texts. As has been discussed, any text that can be commonly declared irrelevant need not be bothered with it all. Second, a text need not be read to be understood, as their meanings may have a common sense. Texts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a discussion of a text’s content.</w:t>
      </w:r>
    </w:p>
    <w:p>
      <w:pPr>
        <w:pStyle w:val="BodyText"/>
      </w:pPr>
      <w:r>
        <w:t xml:space="preserve">Like all symbolic currencies, the pace of commerce quickens where the symbol of the good is exchanged prior to the good itself needing to be mobilized. A utility of reputed rather than real meanings is to save scholars from the existential crisis besieging them: the pace of the publication of scholarship has long outpaced anyone’s capacity to read it. Reputed meanings allow for the accumulation of a greater body of understanding than would be possible if texts were studied directly. When taken to an extreme this becomes a collective collusion against or stereotype where a fairly thin reputation may stand in for a particular text without anyone ever demanding to see the goods. The deflation of a reputed meaning is to demand that a person wielding it perform an extra feat to demonstrate that they have command of a text’s contents. Like any status challenge the target will pay the debt of their knowledge or ignorance with a credit or debit to their own reputation.</w:t>
      </w:r>
    </w:p>
    <w:p>
      <w:pPr>
        <w:pStyle w:val="BodyText"/>
      </w:pPr>
      <w:r>
        <w:t xml:space="preserve">Taking another step down the collusion path, professions may violate educational norms by trading in reputed meanings rather than direct readings of texts. This is an encryption of their meaning that works exactly as the password. Only members of a subfield may understand the reputed meaning of a text, who in clerical fashion would deign to humiliate a lay person who studied a text outside of the cloister and claimed to know something about it. Parsons would call the factual reading of a text its intrinsic persuasiveness</w:t>
      </w:r>
      <w:r>
        <w:t xml:space="preserve"> </w:t>
      </w:r>
      <w:r>
        <w:t xml:space="preserve">(</w:t>
      </w:r>
      <w:hyperlink w:anchor="ref-Parsons1963Concept">
        <w:r>
          <w:rPr>
            <w:rStyle w:val="Hyperlink"/>
          </w:rPr>
          <w:t xml:space="preserve">1963</w:t>
        </w:r>
      </w:hyperlink>
      <w:r>
        <w:t xml:space="preserve">:48)</w:t>
      </w:r>
      <w:r>
        <w:t xml:space="preserve">, a value that is put into forebearance when it is symbolically exchanged. If a reputed meaning is elaborated for the sole purpose of esoteric exclusiveness, and the reputation diverges enough from the truth, the colluders may expect to receive status challenges ask requests to demonstrate knowledge that if they fail will deflate their own reputations. Such a scenario is very likely where professional arenas, which demand high volume trading of texts, intersect with educational arenas, which require closer attention to fewer texts. Textbooks, which contain nothing but reputed meaning, represent a good example of a professional rather than an educational approach to teaching.</w:t>
      </w:r>
    </w:p>
    <w:p>
      <w:r>
        <w:pict>
          <v:rect style="width:0;height:1.5pt" o:hralign="center" o:hrstd="t" o:hr="t"/>
        </w:pict>
      </w:r>
    </w:p>
    <w:p>
      <w:pPr>
        <w:pStyle w:val="BlockText"/>
      </w:pPr>
      <w:r>
        <w:t xml:space="preserve">NB:</w:t>
      </w:r>
      <w:r>
        <w:t xml:space="preserve"> </w:t>
      </w:r>
      <w:r>
        <w:rPr>
          <w:i/>
        </w:rPr>
        <w:t xml:space="preserve">The remainder is unorganized but lays out general concepts relevant to cultural closure and social stratification</w:t>
      </w:r>
    </w:p>
    <w:p>
      <w:r>
        <w:pict>
          <v:rect style="width:0;height:1.5pt" o:hralign="center" o:hrstd="t" o:hr="t"/>
        </w:pict>
      </w:r>
    </w:p>
    <w:p>
      <w:pPr>
        <w:pStyle w:val="Heading2"/>
      </w:pPr>
      <w:bookmarkStart w:id="35" w:name="ubiquity-and-esotericism-in-culture"/>
      <w:r>
        <w:t xml:space="preserve">Ubiquity and Esotericism in Culture</w:t>
      </w:r>
      <w:bookmarkEnd w:id="35"/>
    </w:p>
    <w:p>
      <w:pPr>
        <w:pStyle w:val="FirstParagraph"/>
      </w:pPr>
      <w:r>
        <w:t xml:space="preserve">Genre is a form of meta-expertise called</w:t>
      </w:r>
      <w:r>
        <w:t xml:space="preserve"> </w:t>
      </w:r>
      <w:r>
        <w:rPr>
          <w:i/>
        </w:rPr>
        <w:t xml:space="preserve">ubiquitous discrimination</w:t>
      </w:r>
      <w:r>
        <w:t xml:space="preserve"> </w:t>
      </w:r>
      <w:r>
        <w:t xml:space="preserve">(Collins and Evans</w:t>
      </w:r>
      <w:r>
        <w:t xml:space="preserve"> </w:t>
      </w:r>
      <w:hyperlink w:anchor="ref-Collins2007Rethinking">
        <w:r>
          <w:rPr>
            <w:rStyle w:val="Hyperlink"/>
          </w:rPr>
          <w:t xml:space="preserve">2007</w:t>
        </w:r>
      </w:hyperlink>
      <w:r>
        <w:t xml:space="preserve">:45)</w:t>
      </w:r>
      <w:r>
        <w:t xml:space="preserve">, which reflects a layperson’s ability to make judgments (genre classifications) about what might otherwise be considered esoteric content. Ubiquitous knowledge is assumed to be available to all members of a society, even if not everyone necessarily acquires it. The availability of knowledge is a critical articulation point between cultural systems and social systems.</w:t>
      </w:r>
    </w:p>
    <w:p>
      <w:pPr>
        <w:pStyle w:val="BodyText"/>
      </w:pPr>
      <w:r>
        <w:t xml:space="preserve">Bodies of knowledge and practice, cultures, exist because of yet apart from particular people. While some cultures are ubiquitous and inculcated in all members of the societies in which they are substantiated, others are esoteric and marked by significant barriers to learning them. Such esoteric cultures are as inaccessible as they are unnecessary. A child who does not learn what to eat and how to eat it in her local culture will have great difficulty doing anything else in her society. Food culture is of the ubiquitous type and is not difficult to learn. On the other hand, a child who does not master scripture will be ashamed at temple, but shame is bearable in a way that hunger is not. Scripture is of the esoteric type; knowledge of it enables special abilities and grants access to restricted aspects of a society, but ignorance of it does not threaten one’s lay livelihood. Even in religiously totalitarian societies, what religious knowledge is necessary will be ubiquitous. What religious knowledge is esoteric can be safely left to the clergy. It is not too narrowly circular to say that the knowledge that informs daily life is the easiest to acquire, and that the mere act of living also reproduces that knowledge within contexts that are themselves ubiquitous. Whether relationships of ubiquity are familial, economic, or state relations varies by society, but no society lacks ubiquitous culture and the means of reproducing it.</w:t>
      </w:r>
    </w:p>
    <w:p>
      <w:pPr>
        <w:pStyle w:val="BodyText"/>
      </w:pPr>
      <w:r>
        <w:t xml:space="preserve">Esoteric cultures, then, are removed from ubiquitous ones though they depend on them. They require specialized social relationships for their reproduction in populations. These special relationships may be called fields of cultural production (FCP). FCPs are both reproductive of extant knowledge and productive of novel knowledge relevant usually only to the field itself. To the extent that esoteric cultures are complicated or otherwise have high entropy, the failure to reproduce their cultural content is always an existential threat. While it is a guarantee that cultural content is constantly actually lost to reproduction failures, cultures that nonetheless persist historically must always have a socially structured FCP that, in inculcating new members and reinforcing the knowledge of extant members, resists the entropic decay that would otherwise lead to extinction.</w:t>
      </w:r>
    </w:p>
    <w:p>
      <w:pPr>
        <w:pStyle w:val="BodyText"/>
      </w:pPr>
      <w:r>
        <w:t xml:space="preserve">The scope of a culture has a knowledge and a social dimension. Units of knowledge are both discrete and combinatoric. Discretely, the size of a culture can be measured by a count of co-occurring ideas and skills. The utility of knowledge, for instance as instantiated in an FCP, often depends on the combination and interaction of such discrete elements. The mass of knowledge in a culture is related to the count of units and to the ease with which those units can be learned, thought, or deployed in meaningful activity. Some cultures are easier than others, and it is the effort-adjusted size that is the real mass of the ideational content of a culture.</w:t>
      </w:r>
    </w:p>
    <w:p>
      <w:pPr>
        <w:pStyle w:val="BodyText"/>
      </w:pPr>
      <w:r>
        <w:t xml:space="preserve">Not all sociologically relevant information is cultural. In the triadic relationship among culture, social structure, and personality, psychological concepts like schema that are sometimes treated as constitutive of social structure</w:t>
      </w:r>
      <w:r>
        <w:t xml:space="preserve"> </w:t>
      </w:r>
      <w:r>
        <w:t xml:space="preserve">(Sewell</w:t>
      </w:r>
      <w:r>
        <w:t xml:space="preserve"> </w:t>
      </w:r>
      <w:hyperlink w:anchor="ref-Sewell1992Theory">
        <w:r>
          <w:rPr>
            <w:rStyle w:val="Hyperlink"/>
          </w:rPr>
          <w:t xml:space="preserve">1992</w:t>
        </w:r>
      </w:hyperlink>
      <w:r>
        <w:t xml:space="preserve">)</w:t>
      </w:r>
      <w:r>
        <w:t xml:space="preserve"> </w:t>
      </w:r>
      <w:r>
        <w:t xml:space="preserve">do not belong in the category of culture. Schemas allow personalities to organize their responses to a world that includes many things beside culture. In order for cultures and social structures to function stably in time, they depend on the successful operation of schemas, but they do not necessarily provision them. An only partial exception is the limiting and very specialized cases of pedagogical institutions. A culture can only exist if people can reproduce it, but the people must solve the psychological problems of cognition on their own. Whereas culture is fungible in its different mediated forms, there is no reason to believe that a</w:t>
      </w:r>
      <w:r>
        <w:t xml:space="preserve"> </w:t>
      </w:r>
      <w:r>
        <w:t xml:space="preserve">“</w:t>
      </w:r>
      <w:r>
        <w:t xml:space="preserve">single schema</w:t>
      </w:r>
      <w:r>
        <w:t xml:space="preserve">”</w:t>
      </w:r>
      <w:r>
        <w:t xml:space="preserve"> </w:t>
      </w:r>
      <w:r>
        <w:t xml:space="preserve">occurs across a population of people. There are no one-size-fits-all solutions to human motivation, and schemas will to a large extent be idiosyncratic, adapted as they must be to the particular circumstances in which people as träger find themselves.</w:t>
      </w:r>
    </w:p>
    <w:p>
      <w:pPr>
        <w:pStyle w:val="BodyText"/>
      </w:pPr>
      <w:r>
        <w:t xml:space="preserve">What cultures can do to hedge their bets against the instability of personalities is to introduce kinds of knowledge adapted to cognitive problems. Schutz identifies systems of relevance from the side of personalities, and here we understand the same from the side of cultures.</w:t>
      </w:r>
    </w:p>
    <w:p>
      <w:pPr>
        <w:pStyle w:val="BodyText"/>
      </w:pPr>
      <w:r>
        <w:t xml:space="preserve">People know culture and it does not appear apart from them. Put differently, culture is information and people are the media that concretely manifest it. The size of a culture is the count of the unique ideas and idea combinations appearing in a deduplicated media catalog, excluding possible but unrealized combinations. The potential of a culture is the size of the realized and unrealized combinations, where the number of elements in a set is limited by a given historical cognitive and technological memory capacity. The potential of a real culture is always greater than its size, as combination novelty always easily exceeds the available media.</w:t>
      </w:r>
    </w:p>
    <w:p>
      <w:pPr>
        <w:pStyle w:val="BodyText"/>
      </w:pPr>
      <w:r>
        <w:t xml:space="preserve">The social mass of the culture is the enumeration of the media in which cultural content actually appears historically. The cultural mass is copied piecemeal among a population of knowers. The mass may be enlarged by information technology by making it easier to access and transmit culture, but the artifacts and technology themselves do not count in the mass of the culture. Real, historical human nervous systems, including language expression,</w:t>
      </w:r>
    </w:p>
    <w:p>
      <w:pPr>
        <w:pStyle w:val="BodyText"/>
      </w:pPr>
      <w:r>
        <w:t xml:space="preserve">Dead cultures cannot live again because the dead part, the social part, is highly ephemeral. Even if a culture leaves material and symbolic artifacts, the</w:t>
      </w:r>
      <w:r>
        <w:t xml:space="preserve"> </w:t>
      </w:r>
      <w:r>
        <w:t xml:space="preserve">“</w:t>
      </w:r>
      <w:r>
        <w:t xml:space="preserve">dead</w:t>
      </w:r>
      <w:r>
        <w:t xml:space="preserve">”</w:t>
      </w:r>
      <w:r>
        <w:t xml:space="preserve"> </w:t>
      </w:r>
      <w:r>
        <w:t xml:space="preserve">parts are precisely those human relationships that would socialize new members in particular ways that cannot be deduced by people who never belonged to begin with, namely the archaeologists of the future. Such archaeologists belong to the FCP of their own time, and approach the historical artifacts of a dead culture as any other FCP approaches regular patterns in the world, as subject to their own particular cultural logics.</w:t>
      </w:r>
    </w:p>
    <w:p>
      <w:pPr>
        <w:pStyle w:val="BodyText"/>
      </w:pPr>
      <w:r>
        <w:t xml:space="preserve">Reproduction does not necessarily imply long term consistency of cultural content, indeed a high level of knowledge loss may be a sign of historical stability in an esoteric culture if it results from a highly productive FCP. An oversupply of cultural content increases the chances that some, any culture can be conveyed into the future in a chain of descent.</w:t>
      </w:r>
    </w:p>
    <w:p>
      <w:pPr>
        <w:pStyle w:val="BodyText"/>
      </w:pPr>
      <w:r>
        <w:t xml:space="preserve">Esoteric knowledge is essentially cryptic, ubiquitous knowledge essentially evident. Crypticism means that laity cannot acquire knowledge on their own, that is, without socially structured access to an FCP. Esotericism is the social consequence of crypticism. Cultures vary by knowledge features, as knowledge is a social axis of power along which status hierarchy necessarily develops. Knowledge asymmetry structures social relationships, usually leading to status inequality.</w:t>
      </w:r>
    </w:p>
    <w:p>
      <w:pPr>
        <w:pStyle w:val="BodyText"/>
      </w:pPr>
      <w:r>
        <w:t xml:space="preserve">High entropy cultures must socialize new and maintain existing members like any culture, but their complications also tend to be generative of novelty.</w:t>
      </w:r>
    </w:p>
    <w:p>
      <w:pPr>
        <w:pStyle w:val="BodyText"/>
      </w:pPr>
      <w:r>
        <w:t xml:space="preserve">The ubiquitous cultures will be learned because there is nothing in a society to do without knowing them, while esoteric ones are guaranteed to be forgotten by most, swapped easily for the always ready ubiquitous alternatives. Ubiquitous cultures have high ambient findability</w:t>
      </w:r>
      <w:r>
        <w:t xml:space="preserve"> </w:t>
      </w:r>
      <w:r>
        <w:t xml:space="preserve">(Morville</w:t>
      </w:r>
      <w:r>
        <w:t xml:space="preserve"> </w:t>
      </w:r>
      <w:hyperlink w:anchor="ref-Morville2009Ambient">
        <w:r>
          <w:rPr>
            <w:rStyle w:val="Hyperlink"/>
          </w:rPr>
          <w:t xml:space="preserve">2009</w:t>
        </w:r>
      </w:hyperlink>
      <w:r>
        <w:t xml:space="preserve">)</w:t>
      </w:r>
      <w:r>
        <w:t xml:space="preserve">, they can be transparently acquired for instance through mimicry</w:t>
      </w:r>
      <w:r>
        <w:t xml:space="preserve"> </w:t>
      </w:r>
      <w:r>
        <w:t xml:space="preserve">(DiMaggio and Powell</w:t>
      </w:r>
      <w:r>
        <w:t xml:space="preserve"> </w:t>
      </w:r>
      <w:hyperlink w:anchor="ref-DiMaggio1983Iron">
        <w:r>
          <w:rPr>
            <w:rStyle w:val="Hyperlink"/>
          </w:rPr>
          <w:t xml:space="preserve">1983</w:t>
        </w:r>
      </w:hyperlink>
      <w:r>
        <w:t xml:space="preserve">)</w:t>
      </w:r>
      <w:r>
        <w:t xml:space="preserve">.</w:t>
      </w:r>
    </w:p>
    <w:p>
      <w:pPr>
        <w:pStyle w:val="BodyText"/>
      </w:pPr>
      <w:r>
        <w:t xml:space="preserve">FCPs are social structures that can be thought of as the articulation points between people and a special type of culture that is associated with higher education.</w:t>
      </w:r>
    </w:p>
    <w:p>
      <w:pPr>
        <w:pStyle w:val="BodyText"/>
      </w:pPr>
      <w:r>
        <w:t xml:space="preserve">To be sure, if esoteric cultures are marked by asymmetries of knowledge between laity and clergy, to continue with the religious example, one must admit that such asymmetries exist in ubiquitous culture as well, as in the supposed ignorance of a child against the learning of an adult. The ignorance of children combined with their megalomania is a useful example of how social structures operate. Social structures are always culturally conservative; a child’s ignorance is a generative force, as they may attempt to solve problems in novel ways, and their efforts will frequently be corrected by the experts. Whether the correction takes marks the chagrin of the parent. Children quickly become specialists in their own FCPs, but this is never because they aren’t also aware of the ubiquity. They may know it, it may bore them, and they efface it for fun. But they know what is ubiquitous; their proximity to ignorance of it may animate their creative abrogation of culture. The essentially conservative function of pedagogy will stamp out that creative flame in time. Indeed children are a great source of entropy for ubiquitous culture, hence the large investment in education generally.</w:t>
      </w:r>
    </w:p>
    <w:p>
      <w:pPr>
        <w:pStyle w:val="BodyText"/>
      </w:pPr>
      <w:r>
        <w:t xml:space="preserve">This evolutionary argument can be more simply stated as, complicated cultures cannot exist for very long without stewardship.</w:t>
      </w:r>
    </w:p>
    <w:p>
      <w:pPr>
        <w:pStyle w:val="Heading2"/>
      </w:pPr>
      <w:bookmarkStart w:id="36" w:name="discipline"/>
      <w:r>
        <w:t xml:space="preserve">Discipline</w:t>
      </w:r>
      <w:bookmarkEnd w:id="36"/>
    </w:p>
    <w:p>
      <w:pPr>
        <w:pStyle w:val="FirstParagraph"/>
      </w:pPr>
      <w:r>
        <w:t xml:space="preserve">To return to disciplines, answering such questions would put the researcher in an adisciplinary predicament, for it would mean eschewing the scope restrictions cherished by disciples. The challenges of a meta-disciplinary analysis are manifold and uncertain. One is as likely to grow her audience as to lose it altogether. She risks the dilettantism of a jack-of-all-trades. What’s worse, she exposes herself to a dizzying scale of content to consider. If disciplines are indeed functional, then the meta-analysis that effaces disciplines risks being dysfunctional. The upside, however, is appealing. If the universe of meanings given to the term genre does contain complementary uses, a meta-analysis will allow one to consider the consequences of the now arbitrary segregation of a superior metaconcept across disciplinary boundaries. Both sides of the divide could be strengthened by a cultural exchange of their respective terms. The redundancy of parallel discovery can be avoided.</w:t>
      </w:r>
    </w:p>
    <w:p>
      <w:pPr>
        <w:pStyle w:val="BodyText"/>
      </w:pPr>
      <w:r>
        <w:t xml:space="preserve">Pathologies of disciplinarity can be diagnosed and treated. Disciplines are social substructures embedded in a larger society and culture. Disciplinarity is a kind of controlled ignorance exchanged for access to secret knowledge. The wayward uses of a term like genre are always lurking at the edges of the firelight defined by a particular disciplinary camp. Discipline as rigor instructs disciples to resist flirtations with the available complexity of the term. The essential tension is very rarely between what is known and unknown; rather it is more commonly between what is known</w:t>
      </w:r>
      <w:r>
        <w:t xml:space="preserve"> </w:t>
      </w:r>
      <w:r>
        <w:t xml:space="preserve">“</w:t>
      </w:r>
      <w:r>
        <w:t xml:space="preserve">here</w:t>
      </w:r>
      <w:r>
        <w:t xml:space="preserve">”</w:t>
      </w:r>
      <w:r>
        <w:t xml:space="preserve"> </w:t>
      </w:r>
      <w:r>
        <w:t xml:space="preserve">versus what we are conditioned to be willfully ignorant of</w:t>
      </w:r>
      <w:r>
        <w:t xml:space="preserve"> </w:t>
      </w:r>
      <w:r>
        <w:t xml:space="preserve">“</w:t>
      </w:r>
      <w:r>
        <w:t xml:space="preserve">there</w:t>
      </w:r>
      <w:r>
        <w:t xml:space="preserve">”</w:t>
      </w:r>
      <w:r>
        <w:t xml:space="preserve">.</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To impose a sociological gloss on the term, these varied uses of genre would make reviewing the literature on the topic difficult, were it not for the discipline structure of the academy. The uses of the term genre are themselves systematically organized by discipline, and a disciple who is adequately trained will know the correct ways to use the term in her local context. To use genre as a disciplinary convention means to first identify your location in the disciplinary field, and then to accept the limitations on scope by excluding those treatments of the term that are extradisciplinary, that is, irrelevant. Disciplinary structure reduces the true cultural complexity of the meaning of genre to a restricted form, which in turn allows humble knowledge workers to engage upon a set of shared assumptions. Such simplicity begets new complexity as disciples spin out the consequences of their local use of genre.</w:t>
      </w:r>
    </w:p>
    <w:p>
      <w:pPr>
        <w:pStyle w:val="BodyText"/>
      </w:pPr>
      <w:r>
        <w:t xml:space="preserve">In the sociology of culture, genre is a form of classification enacted by people in various social contexts. In the context of industrial capitalism, genre is an economic principle helping to organize supply and demand within markets for cultural products. There actors see genres among the borders between economic, social, and cultural uses, as a market category helping them acquire or produce content, as a card in proximate games of prestige, or as something to taste, to consume and enjoy directly. Less often genre is knowledge, a component of culture separate from taste, that is a factor in the formation of ideas and skills, whether these lead in turn to economic production or not.</w:t>
      </w:r>
    </w:p>
    <w:p>
      <w:pPr>
        <w:pStyle w:val="BodyText"/>
      </w:pPr>
      <w:r>
        <w:t xml:space="preserve">Genre’s meaning is context specific and variable across sociological subfields, though it is amplified in empiricist fashion by economy and society approaches that reduce genre to the act of classification itself. I say empiricist because of the empirical ease with which the classification or labeling actions are observed. Especially with Internet distribution systems, it becomes trivial for corporations to observe when a consumer labels her preferences while browsing a content catalog; it is much harder to observe the ideas that consuming a particular piece of content sparks in the mind.</w:t>
      </w:r>
    </w:p>
    <w:p>
      <w:pPr>
        <w:pStyle w:val="BodyText"/>
      </w:pPr>
      <w:r>
        <w:t xml:space="preserve">In cultural studies genre is used much differently and much more in accordance with its etymology. To the humanist, genre is an ontological phenomenon, which is to say, genres are differentiated from each other by combinations of discrete features of signs and signifieds. Humanists are trained to establish these ontologies through methodological readings of texts and through cultivation of theories of genre types. These methods are at the same time empirical and interpretive, because in consuming objective texts the researcher actually observes the ideas that form in her own consciousness, and they may hope that others have a resonant experience. Genres have more substance to them for humanists than they do for sociologists. For sociologists of culture, genres are how people use genre labels, while for humanists, genres are knowledge.</w:t>
      </w:r>
    </w:p>
    <w:p>
      <w:pPr>
        <w:pStyle w:val="BodyText"/>
      </w:pPr>
      <w:r>
        <w:t xml:space="preserve">As I have said, the meaning of genre for a sociologist of culture is economistic, at the same time a market category and a taste configuration for consumers. The term differs for a sociologist of knowledge, and perhaps for a cultural sociologist. It is ontology as it is for the humanist, however it is not the ontology as represented to the researcher in the consumption of texts. It is the hopelessly unobservable distribution of ontologies appearing in a population of consumers attending to similar texts. The sociologist of knowledge accuses the sociologist of culture of reducing internalist concepts, thought and experience, to externalist ones, taste and preference. The sociologist of culture rejoins, show me proof, and on and on the interlocutors spin around the axis defining the boundary between their subfields.</w:t>
      </w:r>
    </w:p>
    <w:p>
      <w:pPr>
        <w:pStyle w:val="BodyText"/>
      </w:pPr>
      <w:r>
        <w:t xml:space="preserve">But this description of subdisciplinary differences really is just an example of a structural theory of genre that is within scope for the sociologist of knowledge and beyond it for the sociologist of culture, due to their epistemological differences. If genres are ontological, then they deeply structure a person’s experience of reality. Ontologies form basic perceptual categories, and people with different ontologies of an object experience different things even if oriented to the same objective phenomenon. A ontological theory of genre would, for example, attempt to explain differences in taste as differences in phenomenological perception, whereas a taste theory of genre treats consumption behavior as revealing preferences whose downstream consequences are then explored.</w:t>
      </w:r>
    </w:p>
    <w:p>
      <w:pPr>
        <w:pStyle w:val="BodyText"/>
      </w:pPr>
      <w:r>
        <w:t xml:space="preserve">Yet for all the differing treatments of genre mentioned above, do these views really contradict, or are they in fact complementary? Does genre as distribution serve the economic sociologist’s goals, or does a lack of ontological substance lead her astray? Does genre as knowledge remain hopelessly unverifiable, or are theoretical constructs necessary to achieve a correct interpretation of facts? Is everyone at the club listening to the same song hearing the same thing?</w:t>
      </w:r>
    </w:p>
    <w:p>
      <w:pPr>
        <w:pStyle w:val="Heading2"/>
      </w:pPr>
      <w:bookmarkStart w:id="37" w:name="history"/>
      <w:r>
        <w:t xml:space="preserve">History</w:t>
      </w:r>
      <w:bookmarkEnd w:id="37"/>
    </w:p>
    <w:p>
      <w:pPr>
        <w:pStyle w:val="FirstParagraph"/>
      </w:pPr>
      <w:r>
        <w:t xml:space="preserve">A final strategy for choosing what to read is a genealogical approach</w:t>
      </w:r>
      <w:r>
        <w:t xml:space="preserve"> </w:t>
      </w:r>
      <w:r>
        <w:t xml:space="preserve">(Foucault</w:t>
      </w:r>
      <w:r>
        <w:t xml:space="preserve"> </w:t>
      </w:r>
      <w:hyperlink w:anchor="ref-Foucault2002order">
        <w:r>
          <w:rPr>
            <w:rStyle w:val="Hyperlink"/>
          </w:rPr>
          <w:t xml:space="preserve">2002</w:t>
        </w:r>
      </w:hyperlink>
      <w:r>
        <w:t xml:space="preserve">)</w:t>
      </w:r>
    </w:p>
    <w:p>
      <w:pPr>
        <w:pStyle w:val="Heading1"/>
      </w:pPr>
      <w:bookmarkStart w:id="38" w:name="dis"/>
      <w:r>
        <w:t xml:space="preserve">Social Science Disciplines Today</w:t>
      </w:r>
      <w:bookmarkEnd w:id="38"/>
    </w:p>
    <w:p>
      <w:pPr>
        <w:pStyle w:val="Heading4"/>
      </w:pPr>
      <w:bookmarkStart w:id="39" w:name="abstract-1"/>
      <w:r>
        <w:t xml:space="preserve">Abstract</w:t>
      </w:r>
      <w:bookmarkEnd w:id="39"/>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0" w:name="keywords-1"/>
      <w:r>
        <w:t xml:space="preserve">Keywords</w:t>
      </w:r>
      <w:bookmarkEnd w:id="40"/>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2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1"/>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2 Fractal Evaluation and Commensurated Scale. Adapted from Abbott (2011:11).</w:t>
      </w:r>
    </w:p>
    <w:p>
      <w:pPr>
        <w:pStyle w:val="BodyText"/>
      </w:pPr>
      <w:r>
        <w:t xml:space="preserve">Facing inwardly, they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BodyText"/>
      </w:pPr>
      <w:r>
        <w:t xml:space="preserve">Everyone starts at the more ubiquitous level. It is only through education or professional socialization that newcomers can learn</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Heading2"/>
      </w:pPr>
      <w:bookmarkStart w:id="42" w:name="kd-dq1"/>
      <w:r>
        <w:t xml:space="preserve">JSTOR Journals</w:t>
      </w:r>
      <w:bookmarkEnd w:id="42"/>
    </w:p>
    <w:p>
      <w:pPr>
        <w:pStyle w:val="FirstParagraph"/>
      </w:pPr>
      <w:r>
        <w:t xml:space="preserve">I rely on the JSTOR digital archive which gives access to optical scans of historical journals. 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3"/>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4" w:name="network-mode-projection"/>
      <w:r>
        <w:t xml:space="preserve">Network Mode Projection</w:t>
      </w:r>
      <w:bookmarkEnd w:id="44"/>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registered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3</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3 Mode Conversion on a 300 Edge Random Sample of the JSTOR Title List Label Network" title="" id="1" name="Picture"/>
            <a:graphic>
              <a:graphicData uri="http://schemas.openxmlformats.org/drawingml/2006/picture">
                <pic:pic>
                  <pic:nvPicPr>
                    <pic:cNvPr descr="ambrose_dissertation_files/figure-docx/mod-proj-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3</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6" w:name="network-community-detection"/>
      <w:r>
        <w:t xml:space="preserve">Network Community Detection</w:t>
      </w:r>
      <w:bookmarkEnd w:id="46"/>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genres.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 .</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w:t>
      </w:r>
      <w:r>
        <w:t xml:space="preserve">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47" w:name="network-visualization"/>
      <w:r>
        <w:t xml:space="preserve">Network Visualization</w:t>
      </w:r>
      <w:bookmarkEnd w:id="47"/>
    </w:p>
    <w:p>
      <w:pPr>
        <w:pStyle w:val="FirstParagraph"/>
      </w:pPr>
      <w:r>
        <w:t xml:space="preserve">Figure</w:t>
      </w:r>
      <w:r>
        <w:t xml:space="preserve"> </w:t>
      </w:r>
      <w:r>
        <w:t xml:space="preserve">4</w:t>
      </w:r>
      <w:r>
        <w:t xml:space="preserve"> </w:t>
      </w:r>
      <w:r>
        <w:t xml:space="preserve">visualizations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4</w:t>
      </w:r>
      <w:r>
        <w:t xml:space="preserve"> </w:t>
      </w:r>
      <w:r>
        <w:t xml:space="preserve">plots the results of a latent space model on the label facet omitting superdiscipline nodes. Figure</w:t>
      </w:r>
      <w:r>
        <w:t xml:space="preserve"> </w:t>
      </w:r>
      <w:r>
        <w:t xml:space="preserve">5</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4 Discipline Network in Latent Space." title="" id="1" name="Picture"/>
            <a:graphic>
              <a:graphicData uri="http://schemas.openxmlformats.org/drawingml/2006/picture">
                <pic:pic>
                  <pic:nvPicPr>
                    <pic:cNvPr descr="ambrose_dissertation_files/figure-docx/jclu-lnet-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Discipline Network in Latent Space.</w:t>
      </w:r>
    </w:p>
    <w:p>
      <w:pPr>
        <w:pStyle w:val="CaptionedFigure"/>
      </w:pPr>
      <w:r>
        <w:drawing>
          <wp:inline>
            <wp:extent cx="5334000" cy="3429000"/>
            <wp:effectExtent b="0" l="0" r="0" t="0"/>
            <wp:docPr descr="Figure 5 Fruchterman Reingold and latent space layouts compared" title="" id="1" name="Picture"/>
            <a:graphic>
              <a:graphicData uri="http://schemas.openxmlformats.org/drawingml/2006/picture">
                <pic:pic>
                  <pic:nvPicPr>
                    <pic:cNvPr descr="img/layouts.png" id="0" name="Picture"/>
                    <pic:cNvPicPr>
                      <a:picLocks noChangeArrowheads="1" noChangeAspect="1"/>
                    </pic:cNvPicPr>
                  </pic:nvPicPr>
                  <pic:blipFill>
                    <a:blip r:embed="rId4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Fruchterman Reingold and latent space layouts compared</w:t>
      </w:r>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Heading2"/>
      </w:pPr>
      <w:bookmarkStart w:id="50" w:name="results"/>
      <w:r>
        <w:t xml:space="preserve">Results</w:t>
      </w:r>
      <w:bookmarkEnd w:id="50"/>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the natural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Architectural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Organizational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Medicine &amp; Allied Health</w:t>
      </w:r>
    </w:p>
    <w:p>
      <w:pPr>
        <w:pStyle w:val="Compact"/>
      </w:pPr>
      <w:r>
        <w:t xml:space="preserve">Health Sciences</w:t>
      </w:r>
    </w:p>
    <w:p>
      <w:pPr>
        <w:pStyle w:val="Compact"/>
      </w:pPr>
      <w:r>
        <w:t xml:space="preserve">0.86</w:t>
      </w:r>
    </w:p>
    <w:p>
      <w:pPr>
        <w:pStyle w:val="Compact"/>
      </w:pPr>
      <w:r>
        <w:t xml:space="preserve">Public Health</w:t>
      </w:r>
    </w:p>
    <w:p>
      <w:pPr>
        <w:pStyle w:val="Compact"/>
      </w:pPr>
      <w:r>
        <w:t xml:space="preserve">0.7</w:t>
      </w:r>
    </w:p>
    <w:p>
      <w:pPr>
        <w:pStyle w:val="Compact"/>
      </w:pPr>
      <w:r>
        <w:t xml:space="preserve">Health Policy</w:t>
      </w:r>
    </w:p>
    <w:p>
      <w:pPr>
        <w:pStyle w:val="Compact"/>
      </w:pPr>
      <w:r>
        <w:t xml:space="preserve">0.34</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BodyText"/>
      </w:pP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the Sciences and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 interpretation risks a narcissism of small differences.</w:t>
      </w:r>
    </w:p>
    <w:p>
      <w:pPr>
        <w:pStyle w:val="Heading2"/>
      </w:pPr>
      <w:bookmarkStart w:id="51" w:name="discussion"/>
      <w:r>
        <w:t xml:space="preserve">Discussion</w:t>
      </w:r>
      <w:bookmarkEnd w:id="51"/>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w:t>
      </w:r>
    </w:p>
    <w:p>
      <w:pPr>
        <w:pStyle w:val="BodyText"/>
      </w:pPr>
      <w:r>
        <w:t xml:space="preserve">To begin with the weakest result, the purported fronts between white and brown studies,</w:t>
      </w:r>
    </w:p>
    <w:p>
      <w:pPr>
        <w:pStyle w:val="Heading1"/>
      </w:pPr>
      <w:bookmarkStart w:id="52" w:name="gen"/>
      <w:r>
        <w:t xml:space="preserve">Genre and the Literature</w:t>
      </w:r>
      <w:bookmarkEnd w:id="52"/>
    </w:p>
    <w:p>
      <w:pPr>
        <w:pStyle w:val="Heading4"/>
      </w:pPr>
      <w:bookmarkStart w:id="53" w:name="abstract-2"/>
      <w:r>
        <w:t xml:space="preserve">Abstract</w:t>
      </w:r>
      <w:bookmarkEnd w:id="53"/>
    </w:p>
    <w:p>
      <w:pPr>
        <w:pStyle w:val="FirstParagraph"/>
      </w:pPr>
      <w:r>
        <w:t xml:space="preserve">(ref:abs-gen)</w:t>
      </w:r>
    </w:p>
    <w:p>
      <w:pPr>
        <w:pStyle w:val="Heading4"/>
      </w:pPr>
      <w:bookmarkStart w:id="54" w:name="keywords-2"/>
      <w:r>
        <w:t xml:space="preserve">Keywords</w:t>
      </w:r>
      <w:bookmarkEnd w:id="54"/>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In a motivation of some of the arguments to follow, I take a metadisciplinary approach, which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The topic is genre and how disciplinary boundaries form such that people using the same word nonetheless cannot communicate effectively. They draw on different paradigms, which is to say the term is not really the same term. What I hope to do is uncover the knowledge contexts surrounding the terms, and map these contexts in a way that enumerates the various communities of discourse and theories constituting the term.</w:t>
      </w:r>
    </w:p>
    <w:p>
      <w:pPr>
        <w:pStyle w:val="Heading2"/>
      </w:pPr>
      <w:bookmarkStart w:id="55" w:name="genre"/>
      <w:r>
        <w:t xml:space="preserve">Genre</w:t>
      </w:r>
      <w:bookmarkEnd w:id="55"/>
    </w:p>
    <w:p>
      <w:pPr>
        <w:pStyle w:val="FirstParagraph"/>
      </w:pPr>
      <w:r>
        <w:t xml:space="preserve">I take genre as a candidate explicans for the ability of scholars to know what to read and what to avoid from the cultural archive. A theory of genre will benefit from a review of the literature, yet to do so would catch me in the conundrum of performing the phenomenon I wish to explain. The genre structure of sociology should guide me to a definition of genre, a statement that already presumes an ontological difference and morphological relation between disciplines and genres, namely that scholarly genres are not equivalent to scholarly disciplines and that the former are located within the later. I will begin with an unstudied attempt to tease out the relation of discipline and genre before turning to a more rigorous, even empirical, treatment of genre as a term in American scholarship.</w:t>
      </w:r>
    </w:p>
    <w:p>
      <w:pPr>
        <w:pStyle w:val="BodyText"/>
      </w:pPr>
      <w:r>
        <w:t xml:space="preserve">Genre is a loanword from French. 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it is restricted to mean a broad category of art, especially literature and music, and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Figure</w:t>
      </w:r>
      <w:r>
        <w:t xml:space="preserve"> </w:t>
      </w:r>
      <w:r>
        <w:t xml:space="preserve">6</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CaptionedFigure"/>
      </w:pPr>
      <w:r>
        <w:drawing>
          <wp:inline>
            <wp:extent cx="4620126" cy="3696101"/>
            <wp:effectExtent b="0" l="0" r="0" t="0"/>
            <wp:docPr descr="Figure 6 Absolute count of term “genre”, 1901-2008." title="" id="1" name="Picture"/>
            <a:graphic>
              <a:graphicData uri="http://schemas.openxmlformats.org/drawingml/2006/picture">
                <pic:pic>
                  <pic:nvPicPr>
                    <pic:cNvPr descr="ambrose_dissertation_files/figure-docx/ttsgnr-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Absolute count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7</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inflections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7 Relative frequency of term “genre”, 1901-2008." title="" id="1" name="Picture"/>
            <a:graphic>
              <a:graphicData uri="http://schemas.openxmlformats.org/drawingml/2006/picture">
                <pic:pic>
                  <pic:nvPicPr>
                    <pic:cNvPr descr="ambrose_dissertation_files/figure-docx/ttsgnr2-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7 Relative frequency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8</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8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58"/>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8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Heading2"/>
      </w:pPr>
      <w:bookmarkStart w:id="59" w:name="method"/>
      <w:r>
        <w:t xml:space="preserve">Method</w:t>
      </w:r>
      <w:bookmarkEnd w:id="59"/>
    </w:p>
    <w:p>
      <w:pPr>
        <w:pStyle w:val="FirstParagraph"/>
      </w:pPr>
      <w:r>
        <w:t xml:space="preserve">As I have said, 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0" w:name="distant-sampling"/>
      <w:r>
        <w:t xml:space="preserve">Distant sampling</w:t>
      </w:r>
      <w:bookmarkEnd w:id="60"/>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use a simple term search of the keyword</w:t>
      </w:r>
      <w:r>
        <w:t xml:space="preserve"> </w:t>
      </w:r>
      <w:r>
        <w:t xml:space="preserve">“</w:t>
      </w:r>
      <w:r>
        <w:t xml:space="preserve">genre</w:t>
      </w:r>
      <w:r>
        <w:t xml:space="preserve">”</w:t>
      </w:r>
      <w:r>
        <w:t xml:space="preserve"> </w:t>
      </w:r>
      <w:r>
        <w:t xml:space="preserve">to define half of a sampling frame.</w:t>
      </w:r>
      <w:r>
        <w:rPr>
          <w:rStyle w:val="FootnoteReference"/>
        </w:rPr>
        <w:footnoteReference w:id="61"/>
      </w:r>
      <w:r>
        <w:t xml:space="preserve"> </w:t>
      </w:r>
      <w:r>
        <w:t xml:space="preserve">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we have discussed above as disciplinary and subdisciplinary groupings, for us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 of 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We said that we wish to typify and enumerate the different uses of the term genre. By qualitative analysis, we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we want even for too small a sample. We are not humanists and have not been trained in text analysis (this will hound us no matter what). Fatigue will set in, and accuracy and consistency will suffer. We may limit our set of theories to spare us the agony of complexity. It will be hard to reproduce our results. There may be path dependency with a different reading order producing different theories. On the upside, we would be more educated for it.</w:t>
      </w:r>
    </w:p>
    <w:p>
      <w:pPr>
        <w:pStyle w:val="BodyText"/>
      </w:pPr>
      <w:r>
        <w:t xml:space="preserve">Instead, we will stratify the sample, and it is in the configuration of the strata that much of the work will be done. The strata impose upon our interpretation of the texts the assumption of sameness.</w:t>
      </w:r>
    </w:p>
    <w:p>
      <w:pPr>
        <w:pStyle w:val="Heading3"/>
      </w:pPr>
      <w:bookmarkStart w:id="62" w:name="no-cigar"/>
      <w:r>
        <w:t xml:space="preserve">No cigar</w:t>
      </w:r>
      <w:bookmarkEnd w:id="62"/>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3"/>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we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They also reduce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to the assumption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4" w:name="topic-models"/>
      <w:r>
        <w:t xml:space="preserve">Topic Models</w:t>
      </w:r>
      <w:bookmarkEnd w:id="64"/>
    </w:p>
    <w:p>
      <w:pPr>
        <w:pStyle w:val="FirstParagraph"/>
      </w:pPr>
      <w:r>
        <w:t xml:space="preserve">We have referred generically to computational text analysis, and now we can discuss the topic model as our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5" w:name="choosing-k"/>
      <w:r>
        <w:t xml:space="preserve">Choosing K</w:t>
      </w:r>
      <w:bookmarkEnd w:id="65"/>
    </w:p>
    <w:p>
      <w:pPr>
        <w:pStyle w:val="FirstParagraph"/>
      </w:pPr>
      <w:r>
        <w:t xml:space="preserve">Finally, topic models require the analyst to choose the number of topics K. The approach we take to guiding this decision is not to expect one correct specification of K but rather to see it as a changing resolution. A K=2 model usefully bifurcates the sample and is not simply wrong because it is too restrictive. As K increases we expect the samples to continue to divide as new parameter spaces become available to partition the sample. While this is not strictly a hierarchical design, since each K 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 K 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 K,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we expect to see splitting of larger topics as the resolution increases to meet the real diversity. Hierarchy will reveal itself as topics with stronger topic signals subsume weaker ones until K reaches a point where there is enough space to separate them. On the other hand, in the classic trade-off between variance and bias, where K overshoots the true number of topics, we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 K 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We expect the most dominant topics, those that appear at low K and remain stable as K 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we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we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 K 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6"/>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 K 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we have termed contamination at the cost of losing information that we may care about. Thus for sparse model techniques to be used responsibly document residuals would need to be calculated to help recover the unmodeled portions of the texts. The model diagnostics we explore below attempt to separate model parameters into common and idiosyncratic elements, the difference being whether the idiosyncrasy is located in the topic model or in the residuals.</w:t>
      </w:r>
    </w:p>
    <w:p>
      <w:pPr>
        <w:pStyle w:val="Heading4"/>
      </w:pPr>
      <w:bookmarkStart w:id="67" w:name="bias"/>
      <w:r>
        <w:t xml:space="preserve">Bias</w:t>
      </w:r>
      <w:bookmarkEnd w:id="67"/>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 K+N where N is the number of texts and practically always much greater than K.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 N 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we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p>
    <w:p>
      <w:pPr>
        <w:pStyle w:val="BodyText"/>
      </w:pP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68" w:name="qualitative-cross-validation"/>
      <w:r>
        <w:t xml:space="preserve">Qualitative Cross Validation</w:t>
      </w:r>
      <w:bookmarkEnd w:id="68"/>
    </w:p>
    <w:p>
      <w:pPr>
        <w:pStyle w:val="FirstParagraph"/>
      </w:pPr>
      <w:r>
        <w:t xml:space="preserve">To be sure, topic model parameters may be biased by misspecification, and if we are being fair, by the gargantuan task we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 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we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We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69" w:name="data"/>
      <w:r>
        <w:t xml:space="preserve">Data</w:t>
      </w:r>
      <w:bookmarkEnd w:id="69"/>
    </w:p>
    <w:p>
      <w:pPr>
        <w:pStyle w:val="FirstParagraph"/>
      </w:pPr>
      <w:r>
        <w:t xml:space="preserve">The JSTOR Data for Research service allows researchers to download non-consumable versions of full text in very large samples up to 25,000 documents. We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0"/>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9</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w:t>
      </w:r>
      <w:r>
        <w:t xml:space="preserve"> </w:t>
      </w:r>
      <w:r>
        <w:t xml:space="preserve">“</w:t>
      </w:r>
      <w:r>
        <w:t xml:space="preserve">Editorial: The Genre Revival.</w:t>
      </w:r>
      <w:r>
        <w:t xml:space="preserve">”</w:t>
      </w:r>
      <w:r>
        <w:rPr>
          <w:rStyle w:val="FootnoteReference"/>
        </w:rPr>
        <w:footnoteReference w:id="71"/>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we would expect the idiosyncrasy to be 12/13 or 92.3 percent, which also illustrates how terms that are not in the Roman alphabet may be discarded as OCR errors even prior to the idiosyncrasy measurement.</w:t>
      </w:r>
    </w:p>
    <w:p>
      <w:pPr>
        <w:pStyle w:val="CaptionedFigure"/>
      </w:pPr>
      <w:r>
        <w:drawing>
          <wp:inline>
            <wp:extent cx="4620126" cy="3696101"/>
            <wp:effectExtent b="0" l="0" r="0" t="0"/>
            <wp:docPr descr="Figure 9 Distribution of idiosyncracy, the proportion of document vocabularly dropped during pre-processing." title="" id="1" name="Picture"/>
            <a:graphic>
              <a:graphicData uri="http://schemas.openxmlformats.org/drawingml/2006/picture">
                <pic:pic>
                  <pic:nvPicPr>
                    <pic:cNvPr descr="ambrose_dissertation_files/figure-docx/idi-hist-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9 Distribution of idiosyncracy, the proportion of document vocabularly dropped during pre-processing.</w:t>
      </w:r>
    </w:p>
    <w:p>
      <w:pPr>
        <w:pStyle w:val="BodyText"/>
      </w:pPr>
      <w:r>
        <w:t xml:space="preserve">Figure</w:t>
      </w:r>
      <w:r>
        <w:t xml:space="preserve"> </w:t>
      </w:r>
      <w:r>
        <w:t xml:space="preserve">10</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3"/>
      </w:r>
      <w:r>
        <w:t xml:space="preserve">, a single page introduction in a special issue of</w:t>
      </w:r>
      <w:r>
        <w:t xml:space="preserve"> </w:t>
      </w:r>
      <w:r>
        <w:rPr>
          <w:i/>
        </w:rPr>
        <w:t xml:space="preserve">Literature/Film Quarterly</w:t>
      </w:r>
      <w:r>
        <w:t xml:space="preserve"> </w:t>
      </w:r>
      <w:r>
        <w:t xml:space="preserve">on genres.</w:t>
      </w:r>
    </w:p>
    <w:p>
      <w:pPr>
        <w:pStyle w:val="CaptionedFigure"/>
      </w:pPr>
      <w:r>
        <w:drawing>
          <wp:inline>
            <wp:extent cx="4620126" cy="3696101"/>
            <wp:effectExtent b="0" l="0" r="0" t="0"/>
            <wp:docPr descr="Figure 10 Distribution of log_{10} of the count of the term “genre” as a proportion of all terms in a text. Pluses indicate outliers." title="" id="1" name="Picture"/>
            <a:graphic>
              <a:graphicData uri="http://schemas.openxmlformats.org/drawingml/2006/picture">
                <pic:pic>
                  <pic:nvPicPr>
                    <pic:cNvPr descr="ambrose_dissertation_files/figure-docx/gp-hi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10 Distribution of</w:t>
      </w:r>
      <w:r>
        <w:t xml:space="preserve"> </w:t>
      </w:r>
      <m:oMath>
        <m:r>
          <m:t>l</m:t>
        </m:r>
        <m:r>
          <m:t>o</m:t>
        </m:r>
        <m:sSub>
          <m:e>
            <m:r>
              <m:t>g</m:t>
            </m:r>
          </m:e>
          <m:sub>
            <m:r>
              <m:t>10</m:t>
            </m:r>
          </m:sub>
        </m:sSub>
      </m:oMath>
      <w:r>
        <w:t xml:space="preserve"> </w:t>
      </w:r>
      <w:r>
        <w:t xml:space="preserve">of the count of the term</w:t>
      </w:r>
      <w:r>
        <w:t xml:space="preserve"> </w:t>
      </w:r>
      <w:r>
        <w:t xml:space="preserve">“</w:t>
      </w:r>
      <w:r>
        <w:t xml:space="preserve">genre</w:t>
      </w:r>
      <w:r>
        <w:t xml:space="preserve">”</w:t>
      </w:r>
      <w:r>
        <w:t xml:space="preserve"> </w:t>
      </w:r>
      <w:r>
        <w:t xml:space="preserve">as a proportion of all terms in a text. Pluses indicate outliers.</w:t>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5"/>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6" w:name="estimation"/>
      <w:r>
        <w:t xml:space="preserve">Estimation</w:t>
      </w:r>
      <w:bookmarkEnd w:id="76"/>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we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we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 stm 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We have already discussed two of these, the alpha and sigma priors, which let us control the level of mixture of topics within documents and the correlation of topics respectively. We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we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we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we have mentioned, will begin with the conventional hyperparameter assumption of the number of topics K. We fit nine models in sequence from K = 2 to K = 10 in order to use the development of topics through the K space as context for the interpretation of the focal ten topic model. We set the sigma prior to zero to allow for the free estimation of document by topic correlations, which can be set as high as one to mitigate the CTM. We use spectral initialization, which we recall relies on the anchor words assumption to facilitate a determinate solution the topic by term matrix that is then updated to find a more likely within document topic mixture. In spectral initialization there is no alpha concentration parameter as in LDA, and because we do not use L1 regularization we create no preference during estimation for sparse, concentrated document by topic distributions. These choices favor a less biased and more saturated model.</w:t>
      </w:r>
    </w:p>
    <w:p>
      <w:pPr>
        <w:pStyle w:val="BodyText"/>
      </w:pPr>
      <w:r>
        <w:t xml:space="preserve">To set up QCV prior to model inspection, we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7" w:name="diagnostics"/>
      <w:r>
        <w:t xml:space="preserve">Diagnostics</w:t>
      </w:r>
      <w:bookmarkEnd w:id="77"/>
    </w:p>
    <w:p>
      <w:pPr>
        <w:pStyle w:val="FirstParagraph"/>
      </w:pPr>
      <w:r>
        <w:t xml:space="preserve">Having fit nine models sequentially from K = 2 to K = 10, we alight on the final as the focal model given that we assume that at ten topics we have still underspecified K.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We divide the diagnostics into two sections, lower tail probabilities and topic graphs.</w:t>
      </w:r>
    </w:p>
    <w:p>
      <w:pPr>
        <w:pStyle w:val="Heading3"/>
      </w:pPr>
      <w:bookmarkStart w:id="78" w:name="lower-tail-probabilities"/>
      <w:r>
        <w:t xml:space="preserve">Lower tail probabilities</w:t>
      </w:r>
      <w:bookmarkEnd w:id="78"/>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79" w:name="ghost-probability"/>
      <w:r>
        <w:t xml:space="preserve">Ghost probability</w:t>
      </w:r>
      <w:bookmarkEnd w:id="79"/>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we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11</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CaptionedFigure"/>
      </w:pPr>
      <w:r>
        <w:drawing>
          <wp:inline>
            <wp:extent cx="4620126" cy="3696101"/>
            <wp:effectExtent b="0" l="0" r="0" t="0"/>
            <wp:docPr descr="Figure 11 Ghost probabilities, the sum of document proportion of terms predicted to be present but are actually missing, by document length." title="" id="1" name="Picture"/>
            <a:graphic>
              <a:graphicData uri="http://schemas.openxmlformats.org/drawingml/2006/picture">
                <pic:pic>
                  <pic:nvPicPr>
                    <pic:cNvPr descr="ambrose_dissertation_files/figure-docx/ghostN-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Ghost probabilities, the sum of document proportion of terms predicted to be present but are actually missing, by document length.</w:t>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1" w:name="junk-terms"/>
      <w:r>
        <w:t xml:space="preserve">Junk terms</w:t>
      </w:r>
      <w:bookmarkEnd w:id="81"/>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we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we do not expect language to work this way; what is more common is that junk terms are parts of suppressed topics, which would emerge at a higher K,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 K.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our case we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 K =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we expect to be poorly classified, that is, that has a large portion of its explained words deriving from a topic’s lower tail. The document in question, a chapter from Mason and McCruden’s</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2"/>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for Mason and McCruden’s</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Proportion</w:t>
      </w:r>
    </w:p>
    <w:p>
      <w:pPr>
        <w:pStyle w:val="Compact"/>
      </w:pPr>
      <w:r>
        <w:t xml:space="preserve">N Terms Explained</w:t>
      </w:r>
    </w:p>
    <w:p>
      <w:pPr>
        <w:pStyle w:val="Compact"/>
      </w:pPr>
      <w:r>
        <w:t xml:space="preserve">LTP</w:t>
      </w:r>
    </w:p>
    <w:p>
      <w:pPr>
        <w:pStyle w:val="Compact"/>
      </w:pPr>
      <w:r>
        <w:t xml:space="preserve">N from Lower Tail</w:t>
      </w:r>
    </w:p>
    <w:p>
      <w:pPr>
        <w:pStyle w:val="Compact"/>
      </w:pPr>
      <w:r>
        <w:t xml:space="preserve">N from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12</w:t>
      </w:r>
      <w:r>
        <w:t xml:space="preserve"> </w:t>
      </w:r>
      <w:r>
        <w:t xml:space="preserve">shows the lower tail terms from topic 2 that are actually present in the text alongside those that are expected to be but are note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429000"/>
            <wp:effectExtent b="0" l="0" r="0" t="0"/>
            <wp:docPr descr="Figure 12 Terms from Mason and McCruden’s “Reading the Epistle to the Hebrews” that are expected to derive from topic 2" title="" id="1" name="Picture"/>
            <a:graphic>
              <a:graphicData uri="http://schemas.openxmlformats.org/drawingml/2006/picture">
                <pic:pic>
                  <pic:nvPicPr>
                    <pic:cNvPr descr="ambrose_dissertation_files/figure-docx/worstterms-1.png" id="0" name="Picture"/>
                    <pic:cNvPicPr>
                      <a:picLocks noChangeArrowheads="1" noChangeAspect="1"/>
                    </pic:cNvPicPr>
                  </pic:nvPicPr>
                  <pic:blipFill>
                    <a:blip r:embed="rId8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12 Terms from Mason and McCruden’s</w:t>
      </w:r>
      <w:r>
        <w:t xml:space="preserve"> </w:t>
      </w:r>
      <w:r>
        <w:t xml:space="preserve">“</w:t>
      </w:r>
      <w:r>
        <w:t xml:space="preserve">Reading the Epistle to the Hebrews</w:t>
      </w:r>
      <w:r>
        <w:t xml:space="preserve">”</w:t>
      </w:r>
      <w:r>
        <w:t xml:space="preserve"> </w:t>
      </w:r>
      <w:r>
        <w:t xml:space="preserve">that are expected to derive from topic 2</w:t>
      </w:r>
    </w:p>
    <w:p>
      <w:pPr>
        <w:pStyle w:val="BodyText"/>
      </w:pPr>
      <w:r>
        <w:t xml:space="preserve">While we have already inspected the summary ranking of topics in terms of a few measures of goodness of fit, it is helpful to observe the within topic distributions of LTP, which will make the level of overlap among topics more clear. First we will inspect the primary topic classification, as it is common for researchers to reduce the document by topic probability matrix to the primary classification. Then we will look at each topic considering all LTPs at once, not just that of the primary topic.</w:t>
      </w:r>
    </w:p>
    <w:p>
      <w:pPr>
        <w:pStyle w:val="BodyText"/>
      </w:pPr>
      <w:r>
        <w:t xml:space="preserve">Figure</w:t>
      </w:r>
      <w:r>
        <w:t xml:space="preserve"> </w:t>
      </w:r>
      <w:r>
        <w:t xml:space="preserve">13</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429000"/>
            <wp:effectExtent b="0" l="0" r="0" t="0"/>
            <wp:docPr descr="Figure 13 Documents ranked by sum of lower tail probabilities by primary topic classification" title="" id="1" name="Picture"/>
            <a:graphic>
              <a:graphicData uri="http://schemas.openxmlformats.org/drawingml/2006/picture">
                <pic:pic>
                  <pic:nvPicPr>
                    <pic:cNvPr descr="ambrose_dissertation_files/figure-docx/worstall-1.png" id="0" name="Picture"/>
                    <pic:cNvPicPr>
                      <a:picLocks noChangeArrowheads="1" noChangeAspect="1"/>
                    </pic:cNvPicPr>
                  </pic:nvPicPr>
                  <pic:blipFill>
                    <a:blip r:embed="rId8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13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14</w:t>
      </w:r>
      <w:r>
        <w:t xml:space="preserve"> </w:t>
      </w:r>
      <w:r>
        <w:t xml:space="preserve">shows the document distribution by topic of the LTPs. Rather than looking at only the primary topic, here we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we are concerned that the LTPs may be a source of classification bias. This empirical separation visible on the log scale is lower than the p = .05 standard that we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4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5"/>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14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we will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15</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CaptionedFigure"/>
      </w:pPr>
      <w:r>
        <w:drawing>
          <wp:inline>
            <wp:extent cx="5334000" cy="3429000"/>
            <wp:effectExtent b="0" l="0" r="0" t="0"/>
            <wp:docPr descr="Figure 15 Cumulative distribution of within topic term probabilities." title="" id="1" name="Picture"/>
            <a:graphic>
              <a:graphicData uri="http://schemas.openxmlformats.org/drawingml/2006/picture">
                <pic:pic>
                  <pic:nvPicPr>
                    <pic:cNvPr descr="ambrose_dissertation_files/figure-docx/elbow1p-1.png" id="0" name="Picture"/>
                    <pic:cNvPicPr>
                      <a:picLocks noChangeArrowheads="1" noChangeAspect="1"/>
                    </pic:cNvPicPr>
                  </pic:nvPicPr>
                  <pic:blipFill>
                    <a:blip r:embed="rId8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15 Cumulative distribution of within topic term probabilities.</w:t>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87" w:name="zero-threshhold"/>
      <w:r>
        <w:t xml:space="preserve">Zero threshhold</w:t>
      </w:r>
      <w:bookmarkEnd w:id="87"/>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16</w:t>
      </w:r>
      <w:r>
        <w:t xml:space="preserve"> </w:t>
      </w:r>
      <w:r>
        <w:t xml:space="preserve">plots the progression of modal separation of probabilities at growing levels of K. The modes are most visible in the log-odds of the probability. When K is less than 5 the distribution has three modes. In the upper mode are nearly perfectly classified documents, which suggests counterintuitively that at low Ks it is actually easier for the model to perfectly separate some documents. This high mode is mirrored at K=2 by a low mode of the same density, because for every document probability that is approximately one in one topic there must be a probability of approximately zero in the other topic. As K increases the imbalance grows as one implies K - 1 zeroes. But what is more stark is the vanishing of perfect classifications as K increases, to the extent that mode in the middle accounting for the bulk of the distribution is already below .5 even at K = 3. This implies that mixtures are indeed the normal outcome for document classification when the model allows it.</w:t>
      </w:r>
    </w:p>
    <w:p>
      <w:pPr>
        <w:pStyle w:val="CaptionedFigure"/>
      </w:pPr>
      <w:r>
        <w:drawing>
          <wp:inline>
            <wp:extent cx="4620126" cy="3696101"/>
            <wp:effectExtent b="0" l="0" r="0" t="0"/>
            <wp:docPr descr="Figure 16 As K increases so does separation among junk (lower mode), weak (central mode), and strong (upper mode) topic by document probabilities, logit scale" title="" id="1" name="Picture"/>
            <a:graphic>
              <a:graphicData uri="http://schemas.openxmlformats.org/drawingml/2006/picture">
                <pic:pic>
                  <pic:nvPicPr>
                    <pic:cNvPr descr="ambrose_dissertation_files/figure-docx/logit-thet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16 As K increases so does separation among junk (lower mode), weak (central mode), and strong (upper mode) topic by document probabilities, logit scale</w:t>
      </w:r>
    </w:p>
    <w:p>
      <w:pPr>
        <w:pStyle w:val="BodyText"/>
      </w:pPr>
      <w:r>
        <w:t xml:space="preserve">Similarly, Figure</w:t>
      </w:r>
      <w:r>
        <w:t xml:space="preserve"> </w:t>
      </w:r>
      <w:r>
        <w:t xml:space="preserve">17</w:t>
      </w:r>
      <w:r>
        <w:t xml:space="preserve"> </w:t>
      </w:r>
      <w:r>
        <w:t xml:space="preserve">shows the topic probability distribution but for terms rather than documents. Here there is no neat separation of modes between zero predictions and substantive ones. At each K 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 K = 2 and 47.7 percent at K = 10. Similar to the balancing of ones and zeroes above, this fattening left tail implies that as K 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CaptionedFigure"/>
      </w:pPr>
      <w:r>
        <w:drawing>
          <wp:inline>
            <wp:extent cx="4620126" cy="3696101"/>
            <wp:effectExtent b="0" l="0" r="0" t="0"/>
            <wp:docPr descr="Figure 17 As K increases, curve flattens toward more higher and more lower term probabilities, logit scale." title="" id="1" name="Picture"/>
            <a:graphic>
              <a:graphicData uri="http://schemas.openxmlformats.org/drawingml/2006/picture">
                <pic:pic>
                  <pic:nvPicPr>
                    <pic:cNvPr descr="ambrose_dissertation_files/figure-docx/log10-betap-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17 As K increases, curve flattens toward more higher and more lower term probabilities, logit scale.</w:t>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18</w:t>
      </w:r>
      <w:r>
        <w:t xml:space="preserve"> </w:t>
      </w:r>
      <w:r>
        <w:t xml:space="preserve">shows the cumulative distribution of within topic document probabilities truncated at a threshold of 0.005298, the bottom of the trough between the middle and lower modes of the K =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CaptionedFigure"/>
      </w:pPr>
      <w:r>
        <w:drawing>
          <wp:inline>
            <wp:extent cx="5334000" cy="3429000"/>
            <wp:effectExtent b="0" l="0" r="0" t="0"/>
            <wp:docPr descr="Figure 18 Cumulative distribution of within topic document probabilities, truncated at junk threshhold. Dashed line is linear fit to endpoints." title="" id="1" name="Picture"/>
            <a:graphic>
              <a:graphicData uri="http://schemas.openxmlformats.org/drawingml/2006/picture">
                <pic:pic>
                  <pic:nvPicPr>
                    <pic:cNvPr descr="ambrose_dissertation_files/figure-docx/elbow2-1.png" id="0" name="Picture"/>
                    <pic:cNvPicPr>
                      <a:picLocks noChangeArrowheads="1" noChangeAspect="1"/>
                    </pic:cNvPicPr>
                  </pic:nvPicPr>
                  <pic:blipFill>
                    <a:blip r:embed="rId9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18 Cumulative distribution of within topic document probabilities, truncated at junk threshhold. Dashed line is linear fit to endpoints.</w:t>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1" w:name="topic-graphs"/>
      <w:r>
        <w:t xml:space="preserve">Topic Graphs</w:t>
      </w:r>
      <w:bookmarkEnd w:id="91"/>
    </w:p>
    <w:p>
      <w:pPr>
        <w:pStyle w:val="FirstParagraph"/>
      </w:pPr>
      <w:r>
        <w:t xml:space="preserve">Where above we concentrated on individual terms and documents, here we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 K increases across models.</w:t>
      </w:r>
    </w:p>
    <w:p>
      <w:pPr>
        <w:pStyle w:val="Heading4"/>
      </w:pPr>
      <w:bookmarkStart w:id="92" w:name="concentration"/>
      <w:r>
        <w:t xml:space="preserve">Concentration</w:t>
      </w:r>
      <w:bookmarkEnd w:id="92"/>
    </w:p>
    <w:p>
      <w:pPr>
        <w:pStyle w:val="FirstParagraph"/>
      </w:pPr>
      <w:r>
        <w:t xml:space="preserve">Though it was possible to observe concentration during a consideration of junk vectors, now we will measure concentration directly. Figure</w:t>
      </w:r>
      <w:r>
        <w:t xml:space="preserve"> </w:t>
      </w:r>
      <w:r>
        <w:t xml:space="preserve">19</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19 Concentration of topic probabilities within A. documents and B. terms" title="" id="1" name="Picture"/>
            <a:graphic>
              <a:graphicData uri="http://schemas.openxmlformats.org/drawingml/2006/picture">
                <pic:pic>
                  <pic:nvPicPr>
                    <pic:cNvPr descr="ambrose_dissertation_files/figure-docx/doc-ginip-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19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we noticed above that some topics more than others can be well described by a relatively short list of important terms. Figure</w:t>
      </w:r>
      <w:r>
        <w:t xml:space="preserve"> </w:t>
      </w:r>
      <w:r>
        <w:t xml:space="preserve">20</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CaptionedFigure"/>
      </w:pPr>
      <w:r>
        <w:drawing>
          <wp:inline>
            <wp:extent cx="4620126" cy="3696101"/>
            <wp:effectExtent b="0" l="0" r="0" t="0"/>
            <wp:docPr descr="Figure 20 Topic concentrations (TC) within documents by TC within terms. Diamonds proportional to term frequency explained by each topic" title="" id="1" name="Picture"/>
            <a:graphic>
              <a:graphicData uri="http://schemas.openxmlformats.org/drawingml/2006/picture">
                <pic:pic>
                  <pic:nvPicPr>
                    <pic:cNvPr descr="ambrose_dissertation_files/figure-docx/top-gini-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20 Topic concentrations (TC) within documents by TC within terms. Diamonds proportional to term frequency explained by each topic</w:t>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we collapse these two dimensions into one by normalizing and averaging each and assigning an overall concentration rank to each topic.</w:t>
      </w:r>
    </w:p>
    <w:p>
      <w:pPr>
        <w:pStyle w:val="Heading4"/>
      </w:pPr>
      <w:bookmarkStart w:id="95" w:name="blind-qcv"/>
      <w:r>
        <w:t xml:space="preserve">Blind QCV</w:t>
      </w:r>
      <w:bookmarkEnd w:id="95"/>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won’t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CaptionedFigure"/>
      </w:pPr>
      <w:r>
        <w:drawing>
          <wp:inline>
            <wp:extent cx="4620126" cy="3696101"/>
            <wp:effectExtent b="0" l="0" r="0" t="0"/>
            <wp:docPr descr="Figure 21 Topic confusion network. Tied topics contained at least two errors in blind manual sorting test. Untied topics were perfectly separated. Colors represent a topic’s number of imperfect tests." title="" id="1" name="Picture"/>
            <a:graphic>
              <a:graphicData uri="http://schemas.openxmlformats.org/drawingml/2006/picture">
                <pic:pic>
                  <pic:nvPicPr>
                    <pic:cNvPr descr="ambrose_dissertation_files/figure-docx/man-con-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21 Topic confusion network. Tied topics contained at least two errors in blind manual sorting test. Untied topics were perfectly separated. Colors represent a topic’s number of imperfect tests.</w:t>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21</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97" w:name="topic-descent"/>
      <w:r>
        <w:t xml:space="preserve">Topic descent</w:t>
      </w:r>
      <w:bookmarkEnd w:id="97"/>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we use a pseudo hierarchical model in which we fit separate models at increasing levels of K, and we then do postestimation to measure the document level overlap among topics between adjacent levels of K. We refer to this as topic descent, and it shows how document classification evolves as K increases.</w:t>
      </w:r>
    </w:p>
    <w:p>
      <w:pPr>
        <w:pStyle w:val="BodyText"/>
      </w:pPr>
      <w:r>
        <w:t xml:space="preserve">Because a topic descent graph represents relationships only between K-adjacent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we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 k and a topic from model k + 1. For example, document one has a probability of .5 from topic 1 of model k = 2 and a probability of .9 from topic 1 of model k =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22</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we will refer to topics of the final K = 10 model by number only, like topic 8, but when referring to topics of ancestor models we will apply the model prefix, e.g. topic 4 from model k = 7 will be topic 7k4. By following the main blue flow between each level it is possible to see topic lineages that extend with continuity through several K 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 K 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 k =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r>
        <w:rPr>
          <w:rStyle w:val="FootnoteReference"/>
        </w:rPr>
        <w:footnoteReference w:id="98"/>
      </w:r>
    </w:p>
    <w:p>
      <w:pPr>
        <w:pStyle w:val="CaptionedFigure"/>
      </w:pPr>
      <w:r>
        <w:drawing>
          <wp:inline>
            <wp:extent cx="5334000" cy="3229319"/>
            <wp:effectExtent b="0" l="0" r="0" t="0"/>
            <wp:docPr descr="Figure 22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99"/>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22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23</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CaptionedFigure"/>
      </w:pPr>
      <w:r>
        <w:drawing>
          <wp:inline>
            <wp:extent cx="5334000" cy="3429000"/>
            <wp:effectExtent b="0" l="0" r="0" t="0"/>
            <wp:docPr descr="Figure 23 Top 40 term rank changes over topic 2 lineage. Blue are increasing, red decreasing, gray unchanged, and green solitary." title="" id="1" name="Picture"/>
            <a:graphic>
              <a:graphicData uri="http://schemas.openxmlformats.org/drawingml/2006/picture">
                <pic:pic>
                  <pic:nvPicPr>
                    <pic:cNvPr descr="ambrose_dissertation_files/figure-docx/lineage-1.png" id="0" name="Picture"/>
                    <pic:cNvPicPr>
                      <a:picLocks noChangeArrowheads="1" noChangeAspect="1"/>
                    </pic:cNvPicPr>
                  </pic:nvPicPr>
                  <pic:blipFill>
                    <a:blip r:embed="rId10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23 Top 40 term rank changes over topic 2 lineage. Blue are increasing, red decreasing, gray unchanged, and green solitary.</w:t>
      </w:r>
    </w:p>
    <w:p>
      <w:pPr>
        <w:pStyle w:val="Heading3"/>
      </w:pPr>
      <w:bookmarkStart w:id="101" w:name="summary"/>
      <w:r>
        <w:t xml:space="preserve">Summary</w:t>
      </w:r>
      <w:bookmarkEnd w:id="101"/>
    </w:p>
    <w:p>
      <w:pPr>
        <w:pStyle w:val="FirstParagraph"/>
      </w:pPr>
      <w:r>
        <w:t xml:space="preserve">Above we explored ten different features of topics that may affect their substantive interpretation. We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m300</w:t>
      </w:r>
    </w:p>
    <w:p>
      <w:pPr>
        <w:pStyle w:val="Compact"/>
      </w:pPr>
      <w:r>
        <w:t xml:space="preserve">gini</w:t>
      </w:r>
    </w:p>
    <w:p>
      <w:pPr>
        <w:pStyle w:val="Compact"/>
      </w:pPr>
      <w:r>
        <w:t xml:space="preserve">conf</w:t>
      </w:r>
    </w:p>
    <w:p>
      <w:pPr>
        <w:pStyle w:val="Compact"/>
      </w:pPr>
      <w:r>
        <w:t xml:space="preserve">ldp</w:t>
      </w:r>
    </w:p>
    <w:p>
      <w:pPr>
        <w:pStyle w:val="Compact"/>
      </w:pPr>
      <w:r>
        <w:t xml:space="preserve">Summary</w:t>
      </w:r>
    </w:p>
    <w:p>
      <w:pPr>
        <w:pStyle w:val="Compact"/>
      </w:pPr>
      <w:r>
        <w:t xml:space="preserve">Rank Mean</w:t>
      </w:r>
    </w:p>
    <w:p>
      <w:pPr>
        <w:pStyle w:val="Compact"/>
      </w:pPr>
      <w:r>
        <w:t xml:space="preserve">Rank Variance</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1</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2</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9</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4</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5</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3</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8</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2" w:name="topic-interpretation"/>
      <w:r>
        <w:t xml:space="preserve">Topic interpretation</w:t>
      </w:r>
      <w:bookmarkEnd w:id="102"/>
    </w:p>
    <w:p>
      <w:pPr>
        <w:pStyle w:val="FirstParagraph"/>
      </w:pPr>
      <w:r>
        <w:t xml:space="preserve">At long last and armored with a diagnostic assessment of the topics, it is appropriate to interpret the model content of topics. We have three exhibits to assist us in topic interpretation. First are journal topic associations. Second are notes taken above during blind QCV of bellwether texts, which usually amount to gut reactions to the front matter of articles. Finally we will inspect the topic by term lists directly. We will initialize each topic interpretation by inspecting journals and bellwethers, and then we will elaborate the content using the model lists, being sure to note instances of polysemy.</w:t>
      </w:r>
    </w:p>
    <w:p>
      <w:pPr>
        <w:pStyle w:val="Heading3"/>
      </w:pPr>
      <w:bookmarkStart w:id="103" w:name="journals"/>
      <w:r>
        <w:t xml:space="preserve">Journals</w:t>
      </w:r>
      <w:bookmarkEnd w:id="103"/>
    </w:p>
    <w:p>
      <w:pPr>
        <w:pStyle w:val="FirstParagraph"/>
      </w:pPr>
      <w:r>
        <w:t xml:space="preserve">A good place to begin is to ask whether we have done more than merely reproduce a categorical scheme we already had access to. If topics are entirely predicted by journals, then they may not be very valuable as guides to scholarship, though confirming this would be an argument against the importance of interdisciplinarity. Figure</w:t>
      </w:r>
      <w:r>
        <w:t xml:space="preserve"> </w:t>
      </w:r>
      <w:r>
        <w:t xml:space="preserve">24</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429000"/>
            <wp:effectExtent b="0" l="0" r="0" t="0"/>
            <wp:docPr descr="Figure 24 Journal Topic Associations" title="" id="1" name="Picture"/>
            <a:graphic>
              <a:graphicData uri="http://schemas.openxmlformats.org/drawingml/2006/picture">
                <pic:pic>
                  <pic:nvPicPr>
                    <pic:cNvPr descr="ambrose_dissertation_files/figure-docx/jourchi-1.png" id="0" name="Picture"/>
                    <pic:cNvPicPr>
                      <a:picLocks noChangeArrowheads="1" noChangeAspect="1"/>
                    </pic:cNvPicPr>
                  </pic:nvPicPr>
                  <pic:blipFill>
                    <a:blip r:embed="rId10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24 Journal Topic Associations</w:t>
      </w:r>
    </w:p>
    <w:p>
      <w:pPr>
        <w:pStyle w:val="Heading3"/>
      </w:pPr>
      <w:bookmarkStart w:id="105" w:name="bellwether-texts"/>
      <w:r>
        <w:t xml:space="preserve">Bellwether texts</w:t>
      </w:r>
      <w:bookmarkEnd w:id="105"/>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we characterize each topic based on an inspection of the journals with which they are associated and the blind QCV notes.</w:t>
      </w:r>
    </w:p>
    <w:p>
      <w:pPr>
        <w:pStyle w:val="Heading3"/>
      </w:pPr>
      <w:bookmarkStart w:id="106" w:name="terms"/>
      <w:r>
        <w:t xml:space="preserve">Terms</w:t>
      </w:r>
      <w:bookmarkEnd w:id="106"/>
    </w:p>
    <w:p>
      <w:pPr>
        <w:pStyle w:val="FirstParagraph"/>
      </w:pPr>
      <w:r>
        <w:t xml:space="preserve">(ref:genr-mod-viz) Topic Term Explorer, K=10.</w:t>
      </w:r>
      <w:r>
        <w:t xml:space="preserve"> </w:t>
      </w:r>
      <w:hyperlink r:id="rId107">
        <w:r>
          <w:rPr>
            <w:i/>
            <w:rStyle w:val="Hyperlink"/>
          </w:rPr>
          <w:t xml:space="preserve">Interactive pop-out.</w:t>
        </w:r>
      </w:hyperlink>
    </w:p>
    <w:p>
      <w:pPr>
        <w:pStyle w:val="CaptionedFigure"/>
      </w:pPr>
      <w:r>
        <w:drawing>
          <wp:inline>
            <wp:extent cx="5334000" cy="3419075"/>
            <wp:effectExtent b="0" l="0" r="0" t="0"/>
            <wp:docPr descr="Figure 25 (ref:genr-mod-viz)" title="" id="1" name="Picture"/>
            <a:graphic>
              <a:graphicData uri="http://schemas.openxmlformats.org/drawingml/2006/picture">
                <pic:pic>
                  <pic:nvPicPr>
                    <pic:cNvPr descr="img/genr-mod-viz.png" id="0" name="Picture"/>
                    <pic:cNvPicPr>
                      <a:picLocks noChangeArrowheads="1" noChangeAspect="1"/>
                    </pic:cNvPicPr>
                  </pic:nvPicPr>
                  <pic:blipFill>
                    <a:blip r:embed="rId108"/>
                    <a:stretch>
                      <a:fillRect/>
                    </a:stretch>
                  </pic:blipFill>
                  <pic:spPr bwMode="auto">
                    <a:xfrm>
                      <a:off x="0" y="0"/>
                      <a:ext cx="5334000" cy="3419075"/>
                    </a:xfrm>
                    <a:prstGeom prst="rect">
                      <a:avLst/>
                    </a:prstGeom>
                    <a:noFill/>
                    <a:ln w="9525">
                      <a:noFill/>
                      <a:headEnd/>
                      <a:tailEnd/>
                    </a:ln>
                  </pic:spPr>
                </pic:pic>
              </a:graphicData>
            </a:graphic>
          </wp:inline>
        </w:drawing>
      </w:r>
    </w:p>
    <w:p>
      <w:pPr>
        <w:pStyle w:val="ImageCaption"/>
      </w:pPr>
      <w:r>
        <w:t xml:space="preserve">Figure 25 (ref:genr-mod-viz)</w:t>
      </w:r>
    </w:p>
    <w:p>
      <w:pPr>
        <w:pStyle w:val="BodyText"/>
      </w:pPr>
      <w:r>
        <w:t xml:space="preserve">The topic by term matrix is unwieldy; Figure</w:t>
      </w:r>
      <w:r>
        <w:t xml:space="preserve"> </w:t>
      </w:r>
      <w:r>
        <w:t xml:space="preserve">25</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we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09" w:name="dossiers"/>
      <w:r>
        <w:t xml:space="preserve">Dossiers</w:t>
      </w:r>
      <w:bookmarkEnd w:id="109"/>
    </w:p>
    <w:p>
      <w:pPr>
        <w:pStyle w:val="FirstParagraph"/>
      </w:pPr>
      <w:r>
        <w:t xml:space="preserve">Below we assemble the several source of topic interpretation to create a dossier on each topic, and finally establish for each a theory of topic meaning. Recall that until this point we have been reticent to describe such theories for fear of the confirmation bias they will exert on close readings of texts. These biases are inevitable and the goal is to exert some control over their formation rather than to presume we may approach texts from an unbiased vantage point. Thus we expect that in the writing of dossiers we will at this stage solidify the confirmation bias that will inform the subsequent</w:t>
      </w:r>
      <w:r>
        <w:t xml:space="preserve"> </w:t>
      </w:r>
      <w:r>
        <w:t xml:space="preserve">“</w:t>
      </w:r>
      <w:r>
        <w:t xml:space="preserve">close, but</w:t>
      </w:r>
      <w:r>
        <w:t xml:space="preserve">”</w:t>
      </w:r>
      <w:r>
        <w:t xml:space="preserve"> </w:t>
      </w:r>
      <w:r>
        <w:t xml:space="preserve">readings of texts. We table the problem of seriation and proceed in numerical order to aid in later referencing. Each dossier was written by first completing the initial characterization from journals, then layering on bellwether considerations, and finally by inspecting topic term list. For concision we present all of the results for each topic in one paragraph.</w:t>
      </w:r>
    </w:p>
    <w:p>
      <w:pPr>
        <w:pStyle w:val="Heading4"/>
      </w:pPr>
      <w:bookmarkStart w:id="110" w:name="topic-1-students"/>
      <w:r>
        <w:t xml:space="preserve">Topic 1,</w:t>
      </w:r>
      <w:r>
        <w:t xml:space="preserve"> </w:t>
      </w:r>
      <w:r>
        <w:rPr>
          <w:i/>
        </w:rPr>
        <w:t xml:space="preserve">students</w:t>
      </w:r>
      <w:bookmarkEnd w:id="110"/>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1" w:name="topic-2-god"/>
      <w:r>
        <w:t xml:space="preserve">Topic 2,</w:t>
      </w:r>
      <w:r>
        <w:t xml:space="preserve"> </w:t>
      </w:r>
      <w:r>
        <w:rPr>
          <w:i/>
        </w:rPr>
        <w:t xml:space="preserve">god</w:t>
      </w:r>
      <w:bookmarkEnd w:id="111"/>
    </w:p>
    <w:p>
      <w:pPr>
        <w:pStyle w:val="FirstParagraph"/>
      </w:pPr>
      <w:r>
        <w:t xml:space="preserve">Topic 2, which above we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 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2" w:name="topic-3-chinese"/>
      <w:r>
        <w:t xml:space="preserve">Topic 3,</w:t>
      </w:r>
      <w:r>
        <w:t xml:space="preserve"> </w:t>
      </w:r>
      <w:r>
        <w:rPr>
          <w:i/>
        </w:rPr>
        <w:t xml:space="preserve">chinese</w:t>
      </w:r>
      <w:bookmarkEnd w:id="112"/>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3"/>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4" w:name="topic-4-fiction"/>
      <w:r>
        <w:t xml:space="preserve">Topic 4,</w:t>
      </w:r>
      <w:r>
        <w:t xml:space="preserve"> </w:t>
      </w:r>
      <w:r>
        <w:rPr>
          <w:i/>
        </w:rPr>
        <w:t xml:space="preserve">fiction</w:t>
      </w:r>
      <w:bookmarkEnd w:id="114"/>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5" w:name="topic-5-film"/>
      <w:r>
        <w:t xml:space="preserve">Topic 5,</w:t>
      </w:r>
      <w:r>
        <w:t xml:space="preserve"> </w:t>
      </w:r>
      <w:r>
        <w:rPr>
          <w:i/>
        </w:rPr>
        <w:t xml:space="preserve">film</w:t>
      </w:r>
      <w:bookmarkEnd w:id="115"/>
    </w:p>
    <w:p>
      <w:pPr>
        <w:pStyle w:val="FirstParagraph"/>
      </w:pPr>
      <w:r>
        <w:t xml:space="preserve">Topic 5 is very well represented among a variety of journals dedicated to film and cinema. We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 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 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6" w:name="topic-6-music"/>
      <w:r>
        <w:t xml:space="preserve">Topic 6,</w:t>
      </w:r>
      <w:r>
        <w:t xml:space="preserve"> </w:t>
      </w:r>
      <w:r>
        <w:rPr>
          <w:i/>
        </w:rPr>
        <w:t xml:space="preserve">music</w:t>
      </w:r>
      <w:bookmarkEnd w:id="116"/>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17" w:name="topic-7-women"/>
      <w:r>
        <w:t xml:space="preserve">Topic 7,</w:t>
      </w:r>
      <w:r>
        <w:t xml:space="preserve"> </w:t>
      </w:r>
      <w:r>
        <w:rPr>
          <w:i/>
        </w:rPr>
        <w:t xml:space="preserve">women</w:t>
      </w:r>
      <w:bookmarkEnd w:id="117"/>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18" w:name="topic-8-les"/>
      <w:r>
        <w:t xml:space="preserve">Topic 8,</w:t>
      </w:r>
      <w:r>
        <w:t xml:space="preserve"> </w:t>
      </w:r>
      <w:r>
        <w:rPr>
          <w:i/>
        </w:rPr>
        <w:t xml:space="preserve">les</w:t>
      </w:r>
      <w:bookmarkEnd w:id="118"/>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19" w:name="topic-9-genre"/>
      <w:r>
        <w:t xml:space="preserve">Topic 9,</w:t>
      </w:r>
      <w:r>
        <w:t xml:space="preserve"> </w:t>
      </w:r>
      <w:r>
        <w:rPr>
          <w:i/>
        </w:rPr>
        <w:t xml:space="preserve">genre</w:t>
      </w:r>
      <w:bookmarkEnd w:id="119"/>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20" w:name="topic-10-painting"/>
      <w:r>
        <w:t xml:space="preserve">Topic 10,</w:t>
      </w:r>
      <w:r>
        <w:t xml:space="preserve"> </w:t>
      </w:r>
      <w:r>
        <w:rPr>
          <w:i/>
        </w:rPr>
        <w:t xml:space="preserve">painting</w:t>
      </w:r>
      <w:bookmarkEnd w:id="120"/>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1" w:name="topic-clusters"/>
      <w:r>
        <w:t xml:space="preserve">Topic clusters</w:t>
      </w:r>
      <w:bookmarkEnd w:id="121"/>
    </w:p>
    <w:p>
      <w:pPr>
        <w:pStyle w:val="FirstParagraph"/>
      </w:pPr>
      <w:r>
        <w:t xml:space="preserve">Having posited a nominal theory of each topic by inspection of journals, bellwether texts, and the topic by term matrix, we have not yet established what documents are about. Because the topic model is a mixture model we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we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we use the maximum distance method, where the outer edges of two clusters define their distance, which helps to contain variations in cluster volume. Figure</w:t>
      </w:r>
      <w:r>
        <w:t xml:space="preserve"> </w:t>
      </w:r>
      <w:r>
        <w:t xml:space="preserve">26</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26 Heatmap by optimal leaf sorting of documents (rows) and topics (columns)" title="" id="1" name="Picture"/>
            <a:graphic>
              <a:graphicData uri="http://schemas.openxmlformats.org/drawingml/2006/picture">
                <pic:pic>
                  <pic:nvPicPr>
                    <pic:cNvPr descr="ambrose_dissertation_files/figure-docx/hotleaf-1.png" id="0" name="Picture"/>
                    <pic:cNvPicPr>
                      <a:picLocks noChangeArrowheads="1" noChangeAspect="1"/>
                    </pic:cNvPicPr>
                  </pic:nvPicPr>
                  <pic:blipFill>
                    <a:blip r:embed="rId122"/>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26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we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we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we will discuss how to use these clusters for stratified sampling.</w:t>
      </w:r>
    </w:p>
    <w:p>
      <w:pPr>
        <w:pStyle w:val="Heading2"/>
      </w:pPr>
      <w:bookmarkStart w:id="123" w:name="reading-strata"/>
      <w:r>
        <w:t xml:space="preserve">Reading strata</w:t>
      </w:r>
      <w:bookmarkEnd w:id="123"/>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26</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we have previously discussed. In our diagnostics we were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we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we have found a particular sort of bias due to underspecification of K.</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We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w:t>
      </w:r>
    </w:p>
    <w:p>
      <w:pPr>
        <w:pStyle w:val="BodyText"/>
      </w:pPr>
      <w:r>
        <w:t xml:space="preserve">Figure</w:t>
      </w:r>
      <w:r>
        <w:t xml:space="preserve"> </w:t>
      </w:r>
      <w:r>
        <w:t xml:space="preserve">27</w:t>
      </w:r>
      <w:r>
        <w:t xml:space="preserve"> </w:t>
      </w:r>
      <w:r>
        <w:t xml:space="preserve">illustrates the use of these clusters as strata for a sampling approach to mastering a corpus defined by the term genre. The clusters are seriated in playlist order from left to right beginning with</w:t>
      </w:r>
    </w:p>
    <w:p>
      <w:pPr>
        <w:pStyle w:val="CaptionedFigure"/>
      </w:pPr>
      <w:r>
        <w:drawing>
          <wp:inline>
            <wp:extent cx="5334000" cy="3429000"/>
            <wp:effectExtent b="0" l="0" r="0" t="0"/>
            <wp:docPr descr="Figure 27 Reading Strata and Sampled Texts." title="" id="1" name="Picture"/>
            <a:graphic>
              <a:graphicData uri="http://schemas.openxmlformats.org/drawingml/2006/picture">
                <pic:pic>
                  <pic:nvPicPr>
                    <pic:cNvPr descr="ambrose_dissertation_files/figure-docx/gen-samp-1.png" id="0" name="Picture"/>
                    <pic:cNvPicPr>
                      <a:picLocks noChangeArrowheads="1" noChangeAspect="1"/>
                    </pic:cNvPicPr>
                  </pic:nvPicPr>
                  <pic:blipFill>
                    <a:blip r:embed="rId12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27 Reading Strata and Sampled Texts.</w:t>
      </w:r>
    </w:p>
    <w:p>
      <w:pPr>
        <w:pStyle w:val="CaptionedFigure"/>
      </w:pPr>
      <w:r>
        <w:drawing>
          <wp:inline>
            <wp:extent cx="5334000" cy="3429000"/>
            <wp:effectExtent b="0" l="0" r="0" t="0"/>
            <wp:docPr descr="Figure 28 Topic locations of sociology texts (n = 182)" title="" id="1" name="Picture"/>
            <a:graphic>
              <a:graphicData uri="http://schemas.openxmlformats.org/drawingml/2006/picture">
                <pic:pic>
                  <pic:nvPicPr>
                    <pic:cNvPr descr="ambrose_dissertation_files/figure-docx/sociology-1.png" id="0" name="Picture"/>
                    <pic:cNvPicPr>
                      <a:picLocks noChangeArrowheads="1" noChangeAspect="1"/>
                    </pic:cNvPicPr>
                  </pic:nvPicPr>
                  <pic:blipFill>
                    <a:blip r:embed="rId12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28 Topic locations of sociology texts (n = 182)</w:t>
      </w:r>
    </w:p>
    <w:p>
      <w:pPr>
        <w:pStyle w:val="Heading2"/>
      </w:pPr>
      <w:bookmarkStart w:id="126" w:name="results-1"/>
      <w:r>
        <w:t xml:space="preserve">Results</w:t>
      </w:r>
      <w:bookmarkEnd w:id="126"/>
    </w:p>
    <w:p>
      <w:pPr>
        <w:pStyle w:val="FirstParagraph"/>
      </w:pPr>
      <w:r>
        <w:t xml:space="preserve">The first point concerns the urchin. Above we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reason was that the topic came to most strongly associated with the component of it with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The easiest way to test the expectation that perfectly classified documents are actually biased upward by idiosyncracy is to look directly at how the words they contain are classified. For clarity we assign every term in a document to a single topic though it is technically a distribution across all topics. A method to quickly accomplish this and simplify the topic descriptions is to treat each document as a term by topic matrix, project the matrix as a bimodal network, and perform the Louvain community detection method described in</w:t>
      </w:r>
      <w:r>
        <w:t xml:space="preserve"> </w:t>
      </w:r>
      <w:hyperlink w:anchor="network-community-detection">
        <w:r>
          <w:rPr>
            <w:rStyle w:val="Hyperlink"/>
          </w:rPr>
          <w:t xml:space="preserve">Chapter 2</w:t>
        </w:r>
      </w:hyperlink>
      <w:r>
        <w:t xml:space="preserve">. Within the resulting clusters, which will contain terms and topics, we sort items in decreasing order of their total probability, meaning the strongest topics and most frequent terms will be listed first. Given these lists, we can easily see whether the terms in a text assigned to a given topic are really reflective of our theory of that topic.</w:t>
      </w:r>
    </w:p>
    <w:p>
      <w:pPr>
        <w:pStyle w:val="BodyText"/>
      </w:pPr>
      <w:r>
        <w:t xml:space="preserve">Limiting ourselves to the social science subsample, let’s compare the most highly ranked music article, Henry’s</w:t>
      </w:r>
      <w:r>
        <w:t xml:space="preserve"> </w:t>
      </w:r>
      <w:r>
        <w:t xml:space="preserve">“</w:t>
      </w:r>
      <w:r>
        <w:t xml:space="preserve">Social Structure and Music: Correlating Musical Genres and Social Categories in Bhojpuri-Speaking India</w:t>
      </w:r>
      <w:r>
        <w:t xml:space="preserve">”</w:t>
      </w:r>
      <w:r>
        <w:t xml:space="preserve"> </w:t>
      </w:r>
      <w:r>
        <w:t xml:space="preserve">(</w:t>
      </w:r>
      <w:hyperlink r:id="rId127">
        <w:r>
          <w:rPr>
            <w:rStyle w:val="Hyperlink"/>
          </w:rPr>
          <w:t xml:space="preserve">#6249</w:t>
        </w:r>
      </w:hyperlink>
      <w:r>
        <w:t xml:space="preserve">), which is estimated to be 79 percent about music, with the lower ranked Rowe’s</w:t>
      </w:r>
      <w:r>
        <w:t xml:space="preserve"> </w:t>
      </w:r>
      <w:r>
        <w:t xml:space="preserve">“</w:t>
      </w:r>
      <w:r>
        <w:t xml:space="preserve">Vitamin S: Messages, Music and Video— an Analysis of the Sexual Content and Perceptions of Sexuality Communicated in Popular Jamaican Music Videos</w:t>
      </w:r>
      <w:r>
        <w:t xml:space="preserve">”</w:t>
      </w:r>
      <w:r>
        <w:t xml:space="preserve"> </w:t>
      </w:r>
      <w:r>
        <w:t xml:space="preserve">(</w:t>
      </w:r>
      <w:hyperlink r:id="rId128">
        <w:r>
          <w:rPr>
            <w:rStyle w:val="Hyperlink"/>
          </w:rPr>
          <w:t xml:space="preserve">#3623</w:t>
        </w:r>
      </w:hyperlink>
      <w:r>
        <w:t xml:space="preserve">), which is estimated to be 39 percent about music. Figure</w:t>
      </w:r>
      <w:r>
        <w:t xml:space="preserve"> </w:t>
      </w:r>
      <w:r>
        <w:t xml:space="preserve">29</w:t>
      </w:r>
      <w:r>
        <w:t xml:space="preserve"> </w:t>
      </w:r>
      <w:r>
        <w:t xml:space="preserve">plots some of the words from each of these texts. Shown are the words for which topic 6 was their highest probability. Note that several overlapping words are ommitted for legibility, so this is illustrative of the content. Each of the words was inspected and judged to be relevant to music, maybe relevant, and not relevant. In the yes category are terms with a clear musical reference such as performance, cultural, popular, and entertainment. In the maybe category are words that are plausibly related to music but apper to refer to one or more suppressed topics. Religious and youth, for instance, belong to different domains even if they make sense in combination with music. In the no category are words that are either idiosyncratic to the text (like India and Jamaica) or are very general (like number and examples). Words at the same vertical location contribute equally to the total topic score for each text, and while the yes words have a higher mean probability there is also considerable overlap with the less revelant categories of terms.</w:t>
      </w:r>
    </w:p>
    <w:p>
      <w:pPr>
        <w:pStyle w:val="CaptionedFigure"/>
      </w:pPr>
      <w:r>
        <w:drawing>
          <wp:inline>
            <wp:extent cx="4620126" cy="4620126"/>
            <wp:effectExtent b="0" l="0" r="0" t="0"/>
            <wp:docPr descr="Figure 29 Terms estimated from music topic and present in text, by document probability and relevance to music. Document 6249 is 79 percent and document 39 percent about music. Some terms ommitted to prevent overlap." title="" id="1" name="Picture"/>
            <a:graphic>
              <a:graphicData uri="http://schemas.openxmlformats.org/drawingml/2006/picture">
                <pic:pic>
                  <pic:nvPicPr>
                    <pic:cNvPr descr="ambrose_dissertation_files/figure-docx/txt-com-1.png" id="0" name="Picture"/>
                    <pic:cNvPicPr>
                      <a:picLocks noChangeArrowheads="1" noChangeAspect="1"/>
                    </pic:cNvPicPr>
                  </pic:nvPicPr>
                  <pic:blipFill>
                    <a:blip r:embed="rId129"/>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Figure 29 Terms estimated from music topic and present in text, by document probability and relevance to music. Document 6249 is 79 percent and document 39 percent about music. Some terms ommitted to prevent overlap.</w:t>
      </w:r>
    </w:p>
    <w:p>
      <w:pPr>
        <w:pStyle w:val="BodyText"/>
      </w:pPr>
      <w:r>
        <w:t xml:space="preserve">We may now test the expectation that the bellwether texts, those with topic probabilites close to one, contain more classification errors than mixed texts with weaker classifications. Table</w:t>
      </w:r>
      <w:r>
        <w:t xml:space="preserve"> </w:t>
      </w:r>
      <w:r>
        <w:t xml:space="preserve">20</w:t>
      </w:r>
      <w:r>
        <w:t xml:space="preserve"> </w:t>
      </w:r>
      <w:r>
        <w:t xml:space="preserve">compares the sums of the probabilities for each text by the music relevance categories. The estimated topic proportion of text 6249 is double that of text 3623. The sum of probabilites of only the words that actually appear in each text is much lower than the estimate; almost three quarters of the estimate are ghost probabilities accruing from terms that are not actually present in the text. Broken out by relevance category, the true classification portion is slightly lower. In the case of 6249, of the original 79 percent topic score, 17 are undeniably relevant to music.</w:t>
      </w:r>
    </w:p>
    <w:p>
      <w:pPr>
        <w:pStyle w:val="BodyText"/>
      </w:pPr>
      <w:r>
        <w:t xml:space="preserve">If bellwether texts had a higher rate of classification errors than lower ranked texts then their percentage of false positives would be higher. This can be seen in the number in parantheses, which standardizes the left hand column to sum to 100. At least when comparing these two texts, there appears to be no difference in the false positive (no) rate, which for both is between 11 and 12 percent. To be sure would require manual coding of a large number of texts, which is beyond scope for the current project. Suffice to say that the issue of idiosyncracy contaminating topic vectors is real and in these cases created a bias of about ten percent of the estimated topic probability when considering only terms present in the text. The proportions deriving from words not in the texts accounts for a much larger portion of the bias.</w:t>
      </w:r>
    </w:p>
    <w:p>
      <w:pPr>
        <w:pStyle w:val="Compact"/>
      </w:pPr>
      <w:r>
        <w:t xml:space="preserve">(#tab:txt-comt)</w:t>
      </w:r>
      <w:r>
        <w:t xml:space="preserve">Document percentage of music terms (percentage of music share) relevant to music.</w:t>
      </w:r>
    </w:p>
    <w:p>
      <w:pPr>
        <w:pStyle w:val="Compact"/>
      </w:pPr>
      <w:r>
        <w:t xml:space="preserve">6249</w:t>
      </w:r>
    </w:p>
    <w:p>
      <w:pPr>
        <w:pStyle w:val="Compact"/>
      </w:pPr>
      <w:r>
        <w:t xml:space="preserve">3623</w:t>
      </w:r>
    </w:p>
    <w:p>
      <w:pPr>
        <w:pStyle w:val="Compact"/>
      </w:pPr>
      <w:r>
        <w:t xml:space="preserve">yes</w:t>
      </w:r>
    </w:p>
    <w:p>
      <w:pPr>
        <w:pStyle w:val="Compact"/>
      </w:pPr>
      <w:r>
        <w:t xml:space="preserve">16.87</w:t>
      </w:r>
    </w:p>
    <w:p>
      <w:pPr>
        <w:pStyle w:val="Compact"/>
      </w:pPr>
      <w:r>
        <w:t xml:space="preserve">(77.35)</w:t>
      </w:r>
    </w:p>
    <w:p>
      <w:pPr>
        <w:pStyle w:val="Compact"/>
      </w:pPr>
      <w:r>
        <w:t xml:space="preserve">8.97</w:t>
      </w:r>
    </w:p>
    <w:p>
      <w:pPr>
        <w:pStyle w:val="Compact"/>
      </w:pPr>
      <w:r>
        <w:t xml:space="preserve">(78.07)</w:t>
      </w:r>
    </w:p>
    <w:p>
      <w:pPr>
        <w:pStyle w:val="Compact"/>
      </w:pPr>
      <w:r>
        <w:t xml:space="preserve">maybe</w:t>
      </w:r>
    </w:p>
    <w:p>
      <w:pPr>
        <w:pStyle w:val="Compact"/>
      </w:pPr>
      <w:r>
        <w:t xml:space="preserve">2.5</w:t>
      </w:r>
    </w:p>
    <w:p>
      <w:pPr>
        <w:pStyle w:val="Compact"/>
      </w:pPr>
      <w:r>
        <w:t xml:space="preserve">(11.46)</w:t>
      </w:r>
    </w:p>
    <w:p>
      <w:pPr>
        <w:pStyle w:val="Compact"/>
      </w:pPr>
      <w:r>
        <w:t xml:space="preserve">1.16</w:t>
      </w:r>
    </w:p>
    <w:p>
      <w:pPr>
        <w:pStyle w:val="Compact"/>
      </w:pPr>
      <w:r>
        <w:t xml:space="preserve">(10.1)</w:t>
      </w:r>
    </w:p>
    <w:p>
      <w:pPr>
        <w:pStyle w:val="Compact"/>
      </w:pPr>
      <w:r>
        <w:t xml:space="preserve">no</w:t>
      </w:r>
    </w:p>
    <w:p>
      <w:pPr>
        <w:pStyle w:val="Compact"/>
      </w:pPr>
      <w:r>
        <w:t xml:space="preserve">2.44</w:t>
      </w:r>
    </w:p>
    <w:p>
      <w:pPr>
        <w:pStyle w:val="Compact"/>
      </w:pPr>
      <w:r>
        <w:t xml:space="preserve">(11.19)</w:t>
      </w:r>
    </w:p>
    <w:p>
      <w:pPr>
        <w:pStyle w:val="Compact"/>
      </w:pPr>
      <w:r>
        <w:t xml:space="preserve">1.36</w:t>
      </w:r>
    </w:p>
    <w:p>
      <w:pPr>
        <w:pStyle w:val="Compact"/>
      </w:pPr>
      <w:r>
        <w:t xml:space="preserve">(11.84)</w:t>
      </w:r>
    </w:p>
    <w:p>
      <w:pPr>
        <w:pStyle w:val="Compact"/>
      </w:pPr>
      <w:r>
        <w:t xml:space="preserve">Total</w:t>
      </w:r>
    </w:p>
    <w:p>
      <w:pPr>
        <w:pStyle w:val="Compact"/>
      </w:pPr>
      <w:r>
        <w:t xml:space="preserve">21.81</w:t>
      </w:r>
    </w:p>
    <w:p>
      <w:pPr>
        <w:pStyle w:val="Compact"/>
      </w:pPr>
      <w:r>
        <w:t xml:space="preserve">(100)</w:t>
      </w:r>
    </w:p>
    <w:p>
      <w:pPr>
        <w:pStyle w:val="Compact"/>
      </w:pPr>
      <w:r>
        <w:t xml:space="preserve">11.49</w:t>
      </w:r>
    </w:p>
    <w:p>
      <w:pPr>
        <w:pStyle w:val="Compact"/>
      </w:pPr>
      <w:r>
        <w:t xml:space="preserve">(100.01)</w:t>
      </w:r>
    </w:p>
    <w:p>
      <w:pPr>
        <w:pStyle w:val="Compact"/>
      </w:pPr>
      <w:r>
        <w:t xml:space="preserve">Topic Proportion</w:t>
      </w:r>
    </w:p>
    <w:p>
      <w:pPr>
        <w:pStyle w:val="Compact"/>
      </w:pPr>
      <w:r>
        <w:t xml:space="preserve">79</w:t>
      </w:r>
    </w:p>
    <w:p>
      <w:pPr>
        <w:pStyle w:val="Compact"/>
      </w:pPr>
      <w:r>
        <w:t xml:space="preserve">39</w:t>
      </w:r>
    </w:p>
    <w:p>
      <w:pPr>
        <w:pStyle w:val="Compact"/>
      </w:pPr>
      <w:r>
        <w:t xml:space="preserve">Adjusted Topic Proportion</w:t>
      </w:r>
    </w:p>
    <w:p>
      <w:pPr>
        <w:pStyle w:val="Compact"/>
      </w:pPr>
      <w:r>
        <w:t xml:space="preserve">89</w:t>
      </w:r>
    </w:p>
    <w:p>
      <w:pPr>
        <w:pStyle w:val="Compact"/>
      </w:pPr>
      <w:r>
        <w:t xml:space="preserve">50</w:t>
      </w:r>
    </w:p>
    <w:p>
      <w:pPr>
        <w:pStyle w:val="BodyText"/>
      </w:pPr>
      <w:r>
        <w:t xml:space="preserve">Notwithstanding these prima facie quantiative findings, the content of the no list for each text are not entirely comparable. Text 6249 is about local markets for music in a state in India in the 1970s. The vocabularly relating to Indian culture, including references to Hinduism and Islam, found no home in another topic, even in topic 2 which is ostensibly about religion, and so wound up being categorized along with music. Text 3623 is about sexual imagery in Jamaican music videos. Save for the term</w:t>
      </w:r>
      <w:r>
        <w:t xml:space="preserve"> </w:t>
      </w:r>
      <w:r>
        <w:t xml:space="preserve">“</w:t>
      </w:r>
      <w:r>
        <w:t xml:space="preserve">Jamaica</w:t>
      </w:r>
      <w:r>
        <w:t xml:space="preserve">”</w:t>
      </w:r>
      <w:r>
        <w:t xml:space="preserve">, the no list contains terms that have general meanings. There is no obvious idiosyncratic content in its no list. The unique quality of this text was its concern with HIV and sexual behavior. Those medically relevant terms do not have a topic of their own, but in this case the idiosyncracy was allocated to one this text’s other two topic assignments, either topic 5 (film) or topic 7 (women). If in each text we find both a generic and a unique story, the topic model is not designed to help us model the unique portion.</w:t>
      </w:r>
    </w:p>
    <w:p>
      <w:pPr>
        <w:pStyle w:val="Heading1"/>
      </w:pPr>
      <w:bookmarkStart w:id="130" w:name="voc"/>
      <w:r>
        <w:t xml:space="preserve">Vocabularies of Anthropology and Sociology, 1888-1922</w:t>
      </w:r>
      <w:bookmarkEnd w:id="130"/>
    </w:p>
    <w:p>
      <w:pPr>
        <w:pStyle w:val="Heading4"/>
      </w:pPr>
      <w:bookmarkStart w:id="131" w:name="abstract-3"/>
      <w:r>
        <w:t xml:space="preserve">Abstract</w:t>
      </w:r>
      <w:bookmarkEnd w:id="131"/>
    </w:p>
    <w:p>
      <w:pPr>
        <w:pStyle w:val="FirstParagraph"/>
      </w:pPr>
      <w:r>
        <w:t xml:space="preserve">Knowledge development of journals in sociology and anthropology is measured as the change in topic prevalence over time.</w:t>
      </w:r>
    </w:p>
    <w:p>
      <w:pPr>
        <w:pStyle w:val="Heading4"/>
      </w:pPr>
      <w:bookmarkStart w:id="132" w:name="keywords-3"/>
      <w:r>
        <w:t xml:space="preserve">Keywords</w:t>
      </w:r>
      <w:bookmarkEnd w:id="132"/>
    </w:p>
    <w:p>
      <w:pPr>
        <w:pStyle w:val="FirstParagraph"/>
      </w:pPr>
      <w:r>
        <w:t xml:space="preserve">sociology of knowledge, topic modeling, history of social science</w:t>
      </w:r>
    </w:p>
    <w:p>
      <w:r>
        <w:pict>
          <v:rect style="width:0;height:1.5pt" o:hralign="center" o:hrstd="t" o:hr="t"/>
        </w:pict>
      </w:r>
    </w:p>
    <w:p>
      <w:pPr>
        <w:pStyle w:val="FirstParagraph"/>
      </w:pPr>
      <w:r>
        <w:t xml:space="preserve">What were the ideas that predominated in the social sciences at their formation as professions in the postbellum United States? What was the course of their development over a generation of scholarship? In this study I will answer these questions inductively through a reading of the original journals in each discipline. Though the goal is substantive, the methodological challenges of consuming a large quantity of text will feature importantly in the story that unfolds. Along the way I will demonstrate the usefulness of the computational distant reading that is being explored in the humanities and how it can be combined with traditional textual analysis for social science purposes.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subjectivity of a particular person’s reading of history.</w:t>
      </w:r>
    </w:p>
    <w:p>
      <w:pPr>
        <w:pStyle w:val="BodyText"/>
      </w:pPr>
      <w:r>
        <w:t xml:space="preserve">Computational text analysis (CTA)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I am concerned with below are the historical vocabularies that writers used to construct texts in historical time.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this is a profound resource for the intellectual historian. That one could begin a reading with such context would be a transformative research tool. Vocabulary enumeration, by which I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Heading2"/>
      </w:pPr>
      <w:bookmarkStart w:id="133" w:name="social-science-history-in-context"/>
      <w:r>
        <w:t xml:space="preserve">Social science history in context</w:t>
      </w:r>
      <w:bookmarkEnd w:id="133"/>
    </w:p>
    <w:p>
      <w:pPr>
        <w:pStyle w:val="FirstParagraph"/>
      </w:pPr>
      <w:r>
        <w:t xml:space="preserve">Below we will attempt a distant reading of journals in the disciplines of sociology and anthropology. First, however, it will be helpful to put the development of these professions into some historical context. I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always recruited to solve attendant problems of population and to provide rationales for the relationships with and understandings of conquered or would-be conquered people.</w:t>
      </w:r>
    </w:p>
    <w:p>
      <w:pPr>
        <w:pStyle w:val="BodyText"/>
      </w:pPr>
      <w:r>
        <w:t xml:space="preserve">In the interwar periods the leading structural changes tended to be economic. Where wars were ruptual moments that stalled development across many sectors of society, the attendant growth of military capacity also tended to lead to expansions of government, infrastructure, and even education via the training remaining with veterans. The trememdous strain on civilian life in terms of labor shortages during the Civil War thrust women into labor roles outside of the home, expanding the scope of their integration into the economy and public life even after returning to domestic roles as traditional family life was reconstituted. As the organizational form diffused the old bases of trust in kinship networks were supplanted by mechanisms of communication and control oriented toward formal procedures rather than personal commitments</w:t>
      </w:r>
      <w:r>
        <w:t xml:space="preserve"> </w:t>
      </w:r>
      <w:r>
        <w:t xml:space="preserve">(Zucker</w:t>
      </w:r>
      <w:r>
        <w:t xml:space="preserve"> </w:t>
      </w:r>
      <w:hyperlink w:anchor="ref-Zucker1986Production">
        <w:r>
          <w:rPr>
            <w:rStyle w:val="Hyperlink"/>
          </w:rPr>
          <w:t xml:space="preserve">1986</w:t>
        </w:r>
      </w:hyperlink>
      <w:r>
        <w:t xml:space="preserve">)</w:t>
      </w:r>
      <w:r>
        <w:t xml:space="preserve">. This new kind of trust was based in the perceived fairness of rules, procedures, and contracts as well as in the new intermediary role of managers.</w:t>
      </w:r>
    </w:p>
    <w:p>
      <w:pPr>
        <w:pStyle w:val="BodyText"/>
      </w:pPr>
      <w:r>
        <w:t xml:space="preserve">Drawing on economic historians and institutional theory Zucker</w:t>
      </w:r>
      <w:r>
        <w:t xml:space="preserve"> </w:t>
      </w:r>
      <w:r>
        <w:t xml:space="preserve">(</w:t>
      </w:r>
      <w:hyperlink w:anchor="ref-Zucker1983Organizations">
        <w:r>
          <w:rPr>
            <w:rStyle w:val="Hyperlink"/>
          </w:rPr>
          <w:t xml:space="preserve">1983</w:t>
        </w:r>
      </w:hyperlink>
      <w:r>
        <w:t xml:space="preserve">)</w:t>
      </w:r>
      <w:r>
        <w:t xml:space="preserve"> </w:t>
      </w:r>
      <w:r>
        <w:t xml:space="preserve">has shown a secular trend in the late 1800s through the 1950s of a transition of American labor from self and often family-based employment to wage or salaried employment by a firm. This great transformation stirred a number of related elements that had been taken for granted. The population shifted from rural toward urban, primarily by leaving agriculture and taking up salaried employment. While before work was organized around individuals, it now became organized around corporate entities</w:t>
      </w:r>
      <w:r>
        <w:t xml:space="preserve"> </w:t>
      </w:r>
      <w:r>
        <w:t xml:space="preserve">(</w:t>
      </w:r>
      <w:hyperlink w:anchor="ref-Zucker1983Organizations">
        <w:r>
          <w:rPr>
            <w:rStyle w:val="Hyperlink"/>
          </w:rPr>
          <w:t xml:space="preserve">1983</w:t>
        </w:r>
      </w:hyperlink>
      <w:r>
        <w:t xml:space="preserve">:Figure 3)</w:t>
      </w:r>
      <w:r>
        <w:t xml:space="preserve">. This shift started during WWI, with wives going to work for munitions and aircraft factories in the cities. After the war ended, politicians expected a reverse flow back to the rural areas, holding up adjusting the counts for 20 years that determine how many should be elected from each state to the House, but this reverse flow never actually happened.</w:t>
      </w:r>
    </w:p>
    <w:p>
      <w:pPr>
        <w:pStyle w:val="BodyText"/>
      </w:pPr>
      <w:r>
        <w:t xml:space="preserve">While institutional theory has classically focused on predicting stability of norms (see especially DiMaggio and Powell 1983), the more intriguing side of the theory focuses on processes that cause change (see Zucker, AOM OMT Distinguished Scholar Lecture, Institutional Theory at a Crossroad, delivered August 12, 2019). Calcified institutional structure (hierarchical, codified) is particularly susceptible to sudden redefinition, especially if the elements are interlinked so that one change can easily spread.</w:t>
      </w:r>
    </w:p>
    <w:p>
      <w:pPr>
        <w:pStyle w:val="CaptionedFigure"/>
      </w:pPr>
      <w:r>
        <w:drawing>
          <wp:inline>
            <wp:extent cx="5334000" cy="3429000"/>
            <wp:effectExtent b="0" l="0" r="0" t="0"/>
            <wp:docPr descr="Figure 30 Shift from self-employment to wage-labor in United States. Source: Table 4, Zucker :15(1983:15). Illiteracy Source: Table 6, Snyder :21(1993:21)" title="" id="1" name="Picture"/>
            <a:graphic>
              <a:graphicData uri="http://schemas.openxmlformats.org/drawingml/2006/picture">
                <pic:pic>
                  <pic:nvPicPr>
                    <pic:cNvPr descr="ambrose_dissertation_files/figure-docx/zuck1-1.png" id="0" name="Picture"/>
                    <pic:cNvPicPr>
                      <a:picLocks noChangeArrowheads="1" noChangeAspect="1"/>
                    </pic:cNvPicPr>
                  </pic:nvPicPr>
                  <pic:blipFill>
                    <a:blip r:embed="rId13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30 Shift from self-employment to wage-labor in United States. Source: Table 4, Zucker</w:t>
      </w:r>
      <w:r>
        <w:t xml:space="preserve"> </w:t>
      </w:r>
      <w:r>
        <w:t xml:space="preserve">(</w:t>
      </w:r>
      <w:hyperlink w:anchor="ref-Zucker1983Organizations">
        <w:r>
          <w:rPr>
            <w:rStyle w:val="Hyperlink"/>
          </w:rPr>
          <w:t xml:space="preserve">1983</w:t>
        </w:r>
      </w:hyperlink>
      <w:r>
        <w:t xml:space="preserve">:15)</w:t>
      </w:r>
      <w:r>
        <w:t xml:space="preserve">. Illiteracy Source: Table 6, Snyder</w:t>
      </w:r>
      <w:r>
        <w:t xml:space="preserve"> </w:t>
      </w:r>
      <w:r>
        <w:t xml:space="preserve">(</w:t>
      </w:r>
      <w:hyperlink w:anchor="ref-Snyder1993120">
        <w:r>
          <w:rPr>
            <w:rStyle w:val="Hyperlink"/>
          </w:rPr>
          <w:t xml:space="preserve">1993</w:t>
        </w:r>
      </w:hyperlink>
      <w:r>
        <w:t xml:space="preserve">:21)</w:t>
      </w:r>
    </w:p>
    <w:p>
      <w:pPr>
        <w:pStyle w:val="BodyText"/>
      </w:pPr>
      <w:r>
        <w:t xml:space="preserve">The use of procedural trust to organize production also heightened the penalty to illiteracy; whereas orientations to personal loyalty and family obligations were based in tradition and enduring social ties, procedural trust required learning new relationships quickly in novel on-the-job contexts. Contracts, manuals, bookeeping, and even posters and signage on factory floors presumed what is now referred to as functional literacy but was then still an emerging feature of occupations. More quickly than in any other nation the literacy rate in the United States rose due to public investments in education, fueled by and fueling a growing demand for literate labor. Though early data for earlier periods are unavailable, in aggregate personal consumer spending on private education grew from 416 million dollars in 1909 to 1,170 million dollars in 1929, staying strong during WWI only to enter a decline during the Great Depression. Consumer literate spending would recover during WWII giving seeming unlimited opportunity for cultural industries like publishing and education to turn the public’s ability to read into consumer demand and an engine for their own growth.</w:t>
      </w:r>
    </w:p>
    <w:p>
      <w:pPr>
        <w:pStyle w:val="CaptionedFigure"/>
      </w:pPr>
      <w:r>
        <w:drawing>
          <wp:inline>
            <wp:extent cx="5334000" cy="3429000"/>
            <wp:effectExtent b="0" l="0" r="0" t="0"/>
            <wp:docPr descr="Figure 31 Personal Consumption Current Dollar Expenditures on Literate Products (“G456 Books, maps, magazines, newspapers, sheet music”, “G457 Private education and research”, and “G492 Education (private)”). Source: US Census Bureau :316-319(1975:316–319)" title="" id="1" name="Picture"/>
            <a:graphic>
              <a:graphicData uri="http://schemas.openxmlformats.org/drawingml/2006/picture">
                <pic:pic>
                  <pic:nvPicPr>
                    <pic:cNvPr descr="ambrose_dissertation_files/figure-docx/per-con-1.png" id="0" name="Picture"/>
                    <pic:cNvPicPr>
                      <a:picLocks noChangeArrowheads="1" noChangeAspect="1"/>
                    </pic:cNvPicPr>
                  </pic:nvPicPr>
                  <pic:blipFill>
                    <a:blip r:embed="rId13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31 Personal Consumption Current Dollar Expenditures on Literate Products (</w:t>
      </w:r>
      <w:r>
        <w:t xml:space="preserve">“</w:t>
      </w:r>
      <w:r>
        <w:t xml:space="preserve">G456 Books, maps, magazines, newspapers, sheet music</w:t>
      </w:r>
      <w:r>
        <w:t xml:space="preserve">”</w:t>
      </w:r>
      <w:r>
        <w:t xml:space="preserve">,</w:t>
      </w:r>
      <w:r>
        <w:t xml:space="preserve"> </w:t>
      </w:r>
      <w:r>
        <w:t xml:space="preserve">“</w:t>
      </w:r>
      <w:r>
        <w:t xml:space="preserve">G457 Private education and research</w:t>
      </w:r>
      <w:r>
        <w:t xml:space="preserve">”</w:t>
      </w:r>
      <w:r>
        <w:t xml:space="preserve">, and</w:t>
      </w:r>
      <w:r>
        <w:t xml:space="preserve"> </w:t>
      </w:r>
      <w:r>
        <w:t xml:space="preserve">“</w:t>
      </w:r>
      <w:r>
        <w:t xml:space="preserve">G492 Education (private)</w:t>
      </w:r>
      <w:r>
        <w:t xml:space="preserve">”</w:t>
      </w:r>
      <w:r>
        <w:t xml:space="preserve">). Source: US Census Bureau</w:t>
      </w:r>
      <w:r>
        <w:t xml:space="preserve"> </w:t>
      </w:r>
      <w:r>
        <w:t xml:space="preserve">(</w:t>
      </w:r>
      <w:hyperlink w:anchor="ref-Bureau1975Historical">
        <w:r>
          <w:rPr>
            <w:rStyle w:val="Hyperlink"/>
          </w:rPr>
          <w:t xml:space="preserve">1975</w:t>
        </w:r>
      </w:hyperlink>
      <w:r>
        <w:t xml:space="preserve">:316–319)</w:t>
      </w:r>
    </w:p>
    <w:p>
      <w:pPr>
        <w:pStyle w:val="Heading2"/>
      </w:pPr>
      <w:bookmarkStart w:id="136" w:name="kd-dq2"/>
      <w:r>
        <w:t xml:space="preserve"> </w:t>
      </w:r>
      <w:r>
        <w:t xml:space="preserve">Social Science Journals</w:t>
      </w:r>
      <w:bookmarkEnd w:id="136"/>
    </w:p>
    <w:p>
      <w:pPr>
        <w:pStyle w:val="FirstParagraph"/>
      </w:pPr>
      <w:r>
        <w:t xml:space="preserve">The most important journals in anthropology and sociolgy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This study is of its childhood, which ends with the Great War. I however draw the study out until 1922 because it is the end of the public domain in U.S. copyright, to aid in the reproducibility of the analysis and so that all readers may recover the texts in question without difficulty.</w:t>
      </w:r>
    </w:p>
    <w:p>
      <w:pPr>
        <w:pStyle w:val="BodyText"/>
      </w:pPr>
      <w:r>
        <w:t xml:space="preserve">The journals within social science cover five different subdisciplines.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Labeled</w:t>
      </w:r>
    </w:p>
    <w:p>
      <w:pPr>
        <w:pStyle w:val="Compact"/>
      </w:pPr>
      <w:r>
        <w:t xml:space="preserve">LPct</w:t>
      </w:r>
    </w:p>
    <w:p>
      <w:pPr>
        <w:pStyle w:val="Compact"/>
      </w:pPr>
      <w:r>
        <w:t xml:space="preserve">Archaeology</w:t>
      </w:r>
    </w:p>
    <w:p>
      <w:pPr>
        <w:pStyle w:val="Compact"/>
      </w:pPr>
      <w:r>
        <w:t xml:space="preserve">256</w:t>
      </w:r>
    </w:p>
    <w:p>
      <w:pPr>
        <w:pStyle w:val="Compact"/>
      </w:pPr>
      <w:r>
        <w:t xml:space="preserve">27.9</w:t>
      </w:r>
    </w:p>
    <w:p>
      <w:pPr>
        <w:pStyle w:val="Compact"/>
      </w:pPr>
      <w:r>
        <w:t xml:space="preserve">115</w:t>
      </w:r>
    </w:p>
    <w:p>
      <w:pPr>
        <w:pStyle w:val="Compact"/>
      </w:pPr>
      <w:r>
        <w:t xml:space="preserve">12.6</w:t>
      </w:r>
    </w:p>
    <w:p>
      <w:pPr>
        <w:pStyle w:val="Compact"/>
      </w:pPr>
      <w:r>
        <w:t xml:space="preserve">Political Science</w:t>
      </w:r>
    </w:p>
    <w:p>
      <w:pPr>
        <w:pStyle w:val="Compact"/>
      </w:pPr>
      <w:r>
        <w:t xml:space="preserve">219</w:t>
      </w:r>
    </w:p>
    <w:p>
      <w:pPr>
        <w:pStyle w:val="Compact"/>
      </w:pPr>
      <w:r>
        <w:t xml:space="preserve">23.9</w:t>
      </w:r>
    </w:p>
    <w:p>
      <w:pPr>
        <w:pStyle w:val="Compact"/>
      </w:pPr>
      <w:r>
        <w:t xml:space="preserve">183</w:t>
      </w:r>
    </w:p>
    <w:p>
      <w:pPr>
        <w:pStyle w:val="Compact"/>
      </w:pPr>
      <w:r>
        <w:t xml:space="preserve">20</w:t>
      </w:r>
    </w:p>
    <w:p>
      <w:pPr>
        <w:pStyle w:val="Compact"/>
      </w:pPr>
      <w:r>
        <w:t xml:space="preserve">Education</w:t>
      </w:r>
    </w:p>
    <w:p>
      <w:pPr>
        <w:pStyle w:val="Compact"/>
      </w:pPr>
      <w:r>
        <w:t xml:space="preserve">192</w:t>
      </w:r>
    </w:p>
    <w:p>
      <w:pPr>
        <w:pStyle w:val="Compact"/>
      </w:pPr>
      <w:r>
        <w:t xml:space="preserve">21</w:t>
      </w:r>
    </w:p>
    <w:p>
      <w:pPr>
        <w:pStyle w:val="Compact"/>
      </w:pPr>
      <w:r>
        <w:t xml:space="preserve">170</w:t>
      </w:r>
    </w:p>
    <w:p>
      <w:pPr>
        <w:pStyle w:val="Compact"/>
      </w:pPr>
      <w:r>
        <w:t xml:space="preserve">18.6</w:t>
      </w:r>
    </w:p>
    <w:p>
      <w:pPr>
        <w:pStyle w:val="Compact"/>
      </w:pPr>
      <w:r>
        <w:t xml:space="preserve">Sociology</w:t>
      </w:r>
    </w:p>
    <w:p>
      <w:pPr>
        <w:pStyle w:val="Compact"/>
      </w:pPr>
      <w:r>
        <w:t xml:space="preserve">160</w:t>
      </w:r>
    </w:p>
    <w:p>
      <w:pPr>
        <w:pStyle w:val="Compact"/>
      </w:pPr>
      <w:r>
        <w:t xml:space="preserve">17.5</w:t>
      </w:r>
    </w:p>
    <w:p>
      <w:pPr>
        <w:pStyle w:val="Compact"/>
      </w:pPr>
      <w:r>
        <w:t xml:space="preserve">145</w:t>
      </w:r>
    </w:p>
    <w:p>
      <w:pPr>
        <w:pStyle w:val="Compact"/>
      </w:pPr>
      <w:r>
        <w:t xml:space="preserve">15.8</w:t>
      </w:r>
    </w:p>
    <w:p>
      <w:pPr>
        <w:pStyle w:val="Compact"/>
      </w:pPr>
      <w:r>
        <w:t xml:space="preserve">Anthropology</w:t>
      </w:r>
    </w:p>
    <w:p>
      <w:pPr>
        <w:pStyle w:val="Compact"/>
      </w:pPr>
      <w:r>
        <w:t xml:space="preserve">46</w:t>
      </w:r>
    </w:p>
    <w:p>
      <w:pPr>
        <w:pStyle w:val="Compact"/>
      </w:pPr>
      <w:r>
        <w:t xml:space="preserve">5</w:t>
      </w:r>
    </w:p>
    <w:p>
      <w:pPr>
        <w:pStyle w:val="Compact"/>
      </w:pPr>
      <w:r>
        <w:t xml:space="preserve">89</w:t>
      </w:r>
    </w:p>
    <w:p>
      <w:pPr>
        <w:pStyle w:val="Compact"/>
      </w:pPr>
      <w:r>
        <w:t xml:space="preserve">9.7</w:t>
      </w:r>
    </w:p>
    <w:p>
      <w:pPr>
        <w:pStyle w:val="Compact"/>
      </w:pPr>
      <w:r>
        <w:t xml:space="preserve">Population Studies</w:t>
      </w:r>
    </w:p>
    <w:p>
      <w:pPr>
        <w:pStyle w:val="Compact"/>
      </w:pPr>
      <w:r>
        <w:t xml:space="preserve">22</w:t>
      </w:r>
    </w:p>
    <w:p>
      <w:pPr>
        <w:pStyle w:val="Compact"/>
      </w:pPr>
      <w:r>
        <w:t xml:space="preserve">2.4</w:t>
      </w:r>
    </w:p>
    <w:p>
      <w:pPr>
        <w:pStyle w:val="Compact"/>
      </w:pPr>
      <w:r>
        <w:t xml:space="preserve">27</w:t>
      </w:r>
    </w:p>
    <w:p>
      <w:pPr>
        <w:pStyle w:val="Compact"/>
      </w:pPr>
      <w:r>
        <w:t xml:space="preserve">2.9</w:t>
      </w:r>
    </w:p>
    <w:p>
      <w:pPr>
        <w:pStyle w:val="Compact"/>
      </w:pPr>
      <w:r>
        <w:t xml:space="preserve">Geography</w:t>
      </w:r>
    </w:p>
    <w:p>
      <w:pPr>
        <w:pStyle w:val="Compact"/>
      </w:pPr>
      <w:r>
        <w:t xml:space="preserve">18</w:t>
      </w:r>
    </w:p>
    <w:p>
      <w:pPr>
        <w:pStyle w:val="Compact"/>
      </w:pPr>
      <w:r>
        <w:t xml:space="preserve">2</w:t>
      </w:r>
    </w:p>
    <w:p>
      <w:pPr>
        <w:pStyle w:val="Compact"/>
      </w:pPr>
      <w:r>
        <w:t xml:space="preserve">32</w:t>
      </w:r>
    </w:p>
    <w:p>
      <w:pPr>
        <w:pStyle w:val="Compact"/>
      </w:pPr>
      <w:r>
        <w:t xml:space="preserve">3.5</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7</w:t>
      </w:r>
    </w:p>
    <w:p>
      <w:pPr>
        <w:pStyle w:val="Compact"/>
      </w:pPr>
      <w:r>
        <w:t xml:space="preserve">0.8</w:t>
      </w:r>
    </w:p>
    <w:p>
      <w:pPr>
        <w:pStyle w:val="Compact"/>
      </w:pPr>
      <w:r>
        <w:t xml:space="preserve">Total</w:t>
      </w:r>
    </w:p>
    <w:p>
      <w:pPr>
        <w:pStyle w:val="Compact"/>
      </w:pPr>
      <w:r>
        <w:t xml:space="preserve">916</w:t>
      </w:r>
    </w:p>
    <w:p>
      <w:pPr>
        <w:pStyle w:val="Compact"/>
      </w:pPr>
      <w:r>
        <w:t xml:space="preserve">100</w:t>
      </w:r>
    </w:p>
    <w:p>
      <w:pPr>
        <w:pStyle w:val="Compact"/>
      </w:pPr>
      <w:r>
        <w:t xml:space="preserve">768</w:t>
      </w:r>
    </w:p>
    <w:p>
      <w:pPr>
        <w:pStyle w:val="Compact"/>
      </w:pPr>
      <w:r>
        <w:t xml:space="preserve">83.8</w:t>
      </w:r>
    </w:p>
    <w:p>
      <w:pPr>
        <w:pStyle w:val="CaptionedFigure"/>
      </w:pPr>
      <w:r>
        <w:drawing>
          <wp:inline>
            <wp:extent cx="5334000" cy="3429000"/>
            <wp:effectExtent b="0" l="0" r="0" t="0"/>
            <wp:docPr descr="Figure 32 Birth and death rates for JSTOR journals, 5 year intervals." title="" id="1" name="Picture"/>
            <a:graphic>
              <a:graphicData uri="http://schemas.openxmlformats.org/drawingml/2006/picture">
                <pic:pic>
                  <pic:nvPicPr>
                    <pic:cNvPr descr="ambrose_dissertation_files/figure-docx/jbd-1.png" id="0" name="Picture"/>
                    <pic:cNvPicPr>
                      <a:picLocks noChangeArrowheads="1" noChangeAspect="1"/>
                    </pic:cNvPicPr>
                  </pic:nvPicPr>
                  <pic:blipFill>
                    <a:blip r:embed="rId1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32 Birth and death rates for JSTOR journals, 5 year intervals.</w:t>
      </w:r>
    </w:p>
    <w:p>
      <w:pPr>
        <w:pStyle w:val="CaptionedFigure"/>
      </w:pPr>
      <w:r>
        <w:drawing>
          <wp:inline>
            <wp:extent cx="5334000" cy="3429000"/>
            <wp:effectExtent b="0" l="0" r="0" t="0"/>
            <wp:docPr descr="Figure 33 Periods in the Growth of the Number of Social Science Journals in the JSTOR Archive" title="" id="1" name="Picture"/>
            <a:graphic>
              <a:graphicData uri="http://schemas.openxmlformats.org/drawingml/2006/picture">
                <pic:pic>
                  <pic:nvPicPr>
                    <pic:cNvPr descr="ambrose_dissertation_files/figure-docx/jstorm2fig-1.png" id="0" name="Picture"/>
                    <pic:cNvPicPr>
                      <a:picLocks noChangeArrowheads="1" noChangeAspect="1"/>
                    </pic:cNvPicPr>
                  </pic:nvPicPr>
                  <pic:blipFill>
                    <a:blip r:embed="rId138"/>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33 Periods in the Growth of the Number of Social Science Journals in the JSTOR Archive</w:t>
      </w:r>
    </w:p>
    <w:p>
      <w:pPr>
        <w:pStyle w:val="CaptionedFigure"/>
      </w:pPr>
      <w:r>
        <w:drawing>
          <wp:inline>
            <wp:extent cx="5334000" cy="3429000"/>
            <wp:effectExtent b="0" l="0" r="0" t="0"/>
            <wp:docPr descr="Figure 34 Decennial growth in log10 of number of PhD degrees conferred in the U.S." title="" id="1" name="Picture"/>
            <a:graphic>
              <a:graphicData uri="http://schemas.openxmlformats.org/drawingml/2006/picture">
                <pic:pic>
                  <pic:nvPicPr>
                    <pic:cNvPr descr="ambrose_dissertation_files/figure-docx/nces2phd-1.png" id="0" name="Picture"/>
                    <pic:cNvPicPr>
                      <a:picLocks noChangeArrowheads="1" noChangeAspect="1"/>
                    </pic:cNvPicPr>
                  </pic:nvPicPr>
                  <pic:blipFill>
                    <a:blip r:embed="rId13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34 Decennial growth in log10 of number of PhD degrees conferred in the U.S.</w:t>
      </w:r>
    </w:p>
    <w:p>
      <w:pPr>
        <w:pStyle w:val="CaptionedFigure"/>
      </w:pPr>
      <w:r>
        <w:drawing>
          <wp:inline>
            <wp:extent cx="5334000" cy="3429000"/>
            <wp:effectExtent b="0" l="0" r="0" t="0"/>
            <wp:docPr descr="Figure 35 Number of PhDs conferred in the United States per Social Science Journal" title="" id="1" name="Picture"/>
            <a:graphic>
              <a:graphicData uri="http://schemas.openxmlformats.org/drawingml/2006/picture">
                <pic:pic>
                  <pic:nvPicPr>
                    <pic:cNvPr descr="ambrose_dissertation_files/figure-docx/nces/jstorm-1.png" id="0" name="Picture"/>
                    <pic:cNvPicPr>
                      <a:picLocks noChangeArrowheads="1" noChangeAspect="1"/>
                    </pic:cNvPicPr>
                  </pic:nvPicPr>
                  <pic:blipFill>
                    <a:blip r:embed="rId14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35 Number of PhDs conferred in the United States per Social Science Journal</w:t>
      </w:r>
    </w:p>
    <w:p>
      <w:pPr>
        <w:pStyle w:val="BodyText"/>
      </w:pPr>
      <w:r>
        <w:t xml:space="preserve">This period represents one of stable growth, as the size of the field grows with the number of players on it. Between 1888 and 1922 there tended to be about eight new PhD’s in the U.S. for every social science journal even as each population grew year over year. These growth patterns begin to diverge around 1919 as a decades long acceleration of personnel begins, relatively slowly between 1920 and 1960 at an average acceleration rate of 28 PhDs per journal per year, and then quite precipitously in the 1960s at an average acceleration rate of 147.</w:t>
      </w:r>
    </w:p>
    <w:p>
      <w:pPr>
        <w:pStyle w:val="Heading2"/>
      </w:pPr>
      <w:bookmarkStart w:id="141" w:name="topics-ideas"/>
      <w:r>
        <w:t xml:space="preserve"> </w:t>
      </w:r>
      <w:r>
        <w:t xml:space="preserve">Topics ≟ Ideas</w:t>
      </w:r>
      <w:bookmarkEnd w:id="141"/>
    </w:p>
    <w:p>
      <w:pPr>
        <w:pStyle w:val="FirstParagraph"/>
      </w:pPr>
      <w:r>
        <w:t xml:space="preserve">Given a relatively stable epoch in American society, one free of the most extreme exogenous shocks of war and economic depression, how is it possible to trace the development of the discursive structures of American social science scholarship? I will use the digitized texts of articles taken from social science journals in the JSTOR archive to represent a time series of discourse. The methodological challenge is how to count such an empirical source as text, which seldom considered to be data at all.</w:t>
      </w:r>
    </w:p>
    <w:p>
      <w:pPr>
        <w:pStyle w:val="BodyText"/>
      </w:pPr>
      <w:r>
        <w:t xml:space="preserve">Texts are after all for reading rather than counting. Above we have shown how counting is possible within certain categories that are given historically, namely the journal sources of texts. Theoretically, however, there is a concern that discursive formations appear as a conversation among texts that may not be visible in exterior labels, or at least that such social or institutional labels are lagged behind their cultural origins, if indeed they ever break through from the cultural to the social. A genre category is the example par excellence of a socialized culture, one whose relevance to a society at large, however narrowly society may be conceived, is at least debateable because it is visible in the language as a category. The conjecture here is that direct analysis of texts may reveal the cultural currents, as Durkheim referred to them, before the crystalize into firmer social formations.</w:t>
      </w:r>
      <w:r>
        <w:rPr>
          <w:rStyle w:val="FootnoteReference"/>
        </w:rPr>
        <w:footnoteReference w:id="142"/>
      </w:r>
    </w:p>
    <w:p>
      <w:pPr>
        <w:pStyle w:val="BodyText"/>
      </w:pPr>
      <w:r>
        <w:t xml:space="preserve">To do that kind of counting at scale does require a humble approach to text. Text is the bearer of meaning when read by humans. When read by machines text are impoverished. Rather than claim to have access to the meanings of texts, I instead make the more conservative claim to have access to the vocabularies with which those meanings are communicated. Thus 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I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I am successful, if through these steps I may operationalize the notion of cultural meaning or cultural logic as conformity to vocabularies, then I believe a new horizon of intellectual scholarship is possible. If on the other hand I find that machine-learned vocabularies do not correspond to human-learned understandings of the texts drawing on those vocabularies, then the discovery will be negative, that distant reading is not a scientific, historical, or hermeneutic method, but rather a toy at worst and a best new humanistic method of reading texts de novo.</w:t>
      </w:r>
    </w:p>
    <w:p>
      <w:pPr>
        <w:pStyle w:val="BodyText"/>
      </w:pPr>
      <w:r>
        <w:t xml:space="preserve">As mentioned, the statistical tool I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civil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yet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Heading2"/>
      </w:pPr>
      <w:bookmarkStart w:id="143" w:name="full-text-archive"/>
      <w:r>
        <w:t xml:space="preserve">Full-Text Archive</w:t>
      </w:r>
      <w:bookmarkEnd w:id="143"/>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ITHAKA JSTOR archive. Digital storage devices like the portable document format (PDF) have also enabled texts to be represented in both a digital version and as a reasonable facsimile of paper originals. Reasonable, we should say, for most sociological purposes, put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p>
    <w:p>
      <w:pPr>
        <w:pStyle w:val="BodyText"/>
      </w:pPr>
      <w:r>
        <w:t xml:space="preserve">Digital archives make research into the production of culture difficult, precisely because they misrepresent several aspects of the means of production. Because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historical texts. We are liable, for instance, to underestimate the search costs to locate texts, and the fungibility of texts themselves.</w:t>
      </w:r>
    </w:p>
    <w:p>
      <w:pPr>
        <w:pStyle w:val="BodyText"/>
      </w:pPr>
      <w:r>
        <w:t xml:space="preserve">Simply put, if the texts we analyze are not the ones that historical actors read, can we be said to really be doing something historical? There are reasons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I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Heading3"/>
      </w:pPr>
      <w:bookmarkStart w:id="144" w:name="kd-dd"/>
      <w:r>
        <w:t xml:space="preserve">Data</w:t>
      </w:r>
      <w:bookmarkEnd w:id="144"/>
    </w:p>
    <w:p>
      <w:pPr>
        <w:pStyle w:val="FirstParagraph"/>
      </w:pPr>
      <w:r>
        <w:t xml:space="preserve">The optical character recognition that computers require in order to store text digitally depends critically on the hard work of creating quality scans of journal archives. JSTOR has done a commendable job of this. Next we will describe what the JSTOR archive has to offer. Every record for every journal was downloaded manually, including front and back matter, articles, and book reviews.</w:t>
      </w:r>
    </w:p>
    <w:p>
      <w:pPr>
        <w:pStyle w:val="CaptionedFigure"/>
      </w:pPr>
      <w:r>
        <w:drawing>
          <wp:inline>
            <wp:extent cx="5334000" cy="3429000"/>
            <wp:effectExtent b="0" l="0" r="0" t="0"/>
            <wp:docPr descr="Figure 36 Annual count of journal issue contents." title="" id="1" name="Picture"/>
            <a:graphic>
              <a:graphicData uri="http://schemas.openxmlformats.org/drawingml/2006/picture">
                <pic:pic>
                  <pic:nvPicPr>
                    <pic:cNvPr descr="ambrose_dissertation_files/figure-docx/jdpf-desc-1.png" id="0" name="Picture"/>
                    <pic:cNvPicPr>
                      <a:picLocks noChangeArrowheads="1" noChangeAspect="1"/>
                    </pic:cNvPicPr>
                  </pic:nvPicPr>
                  <pic:blipFill>
                    <a:blip r:embed="rId1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36 Annual count of journal issue contents.</w:t>
      </w:r>
    </w:p>
    <w:p>
      <w:pPr>
        <w:pStyle w:val="Heading2"/>
      </w:pPr>
      <w:bookmarkStart w:id="146" w:name="kd-dp1"/>
      <w:r>
        <w:t xml:space="preserve">Sampling</w:t>
      </w:r>
      <w:bookmarkEnd w:id="146"/>
    </w:p>
    <w:p>
      <w:pPr>
        <w:pStyle w:val="CaptionedFigure"/>
      </w:pPr>
      <w:r>
        <w:drawing>
          <wp:inline>
            <wp:extent cx="5334000" cy="3429000"/>
            <wp:effectExtent b="0" l="0" r="0" t="0"/>
            <wp:docPr descr="Figure 37 Total word counts of all issues of all journal contents annually." title="" id="1" name="Picture"/>
            <a:graphic>
              <a:graphicData uri="http://schemas.openxmlformats.org/drawingml/2006/picture">
                <pic:pic>
                  <pic:nvPicPr>
                    <pic:cNvPr descr="ambrose_dissertation_files/figure-docx/pre2ntok-1.png" id="0" name="Picture"/>
                    <pic:cNvPicPr>
                      <a:picLocks noChangeArrowheads="1" noChangeAspect="1"/>
                    </pic:cNvPicPr>
                  </pic:nvPicPr>
                  <pic:blipFill>
                    <a:blip r:embed="rId14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37 Total word counts of all issues of all journal contents annually.</w:t>
      </w:r>
    </w:p>
    <w:p>
      <w:pPr>
        <w:pStyle w:val="Compact"/>
      </w:pPr>
      <w:r>
        <w:t xml:space="preserve">(#tab:filt)</w:t>
      </w:r>
      <w:r>
        <w:t xml:space="preserve">Filtering due to Data Management</w:t>
      </w:r>
    </w:p>
    <w:p>
      <w:pPr>
        <w:pStyle w:val="Compact"/>
      </w:pPr>
      <w:r>
        <w:t xml:space="preserve">step</w:t>
      </w:r>
    </w:p>
    <w:p>
      <w:pPr>
        <w:pStyle w:val="Compact"/>
      </w:pPr>
      <w:r>
        <w:t xml:space="preserve">doc</w:t>
      </w:r>
    </w:p>
    <w:p>
      <w:pPr>
        <w:pStyle w:val="Compact"/>
      </w:pPr>
      <w:r>
        <w:t xml:space="preserve">pag</w:t>
      </w:r>
    </w:p>
    <w:p>
      <w:pPr>
        <w:pStyle w:val="Compact"/>
      </w:pPr>
      <w:r>
        <w:t xml:space="preserve">par</w:t>
      </w:r>
    </w:p>
    <w:p>
      <w:pPr>
        <w:pStyle w:val="Compact"/>
      </w:pPr>
      <w:r>
        <w:t xml:space="preserve">sen</w:t>
      </w:r>
    </w:p>
    <w:p>
      <w:pPr>
        <w:pStyle w:val="Compact"/>
      </w:pPr>
      <w:r>
        <w:t xml:space="preserve">tok</w:t>
      </w:r>
    </w:p>
    <w:p>
      <w:pPr>
        <w:pStyle w:val="Compact"/>
      </w:pPr>
      <w:r>
        <w:t xml:space="preserve">ter</w:t>
      </w:r>
    </w:p>
    <w:p>
      <w:pPr>
        <w:pStyle w:val="Compact"/>
      </w:pPr>
      <w:r>
        <w:t xml:space="preserve">lem</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sampled</w:t>
      </w:r>
    </w:p>
    <w:p>
      <w:pPr>
        <w:pStyle w:val="Compact"/>
      </w:pPr>
      <w:r>
        <w:t xml:space="preserve">1.84</w:t>
      </w:r>
    </w:p>
    <w:p>
      <w:pPr>
        <w:pStyle w:val="Compact"/>
      </w:pPr>
      <w:r>
        <w:t xml:space="preserve">1.56</w:t>
      </w:r>
    </w:p>
    <w:p>
      <w:pPr>
        <w:pStyle w:val="Compact"/>
      </w:pPr>
      <w:r>
        <w:t xml:space="preserve">1.17</w:t>
      </w:r>
    </w:p>
    <w:p>
      <w:pPr>
        <w:pStyle w:val="Compact"/>
      </w:pPr>
      <w:r>
        <w:t xml:space="preserve">1.43</w:t>
      </w:r>
    </w:p>
    <w:p>
      <w:pPr>
        <w:pStyle w:val="Compact"/>
      </w:pPr>
      <w:r>
        <w:t xml:space="preserve">0.62</w:t>
      </w:r>
    </w:p>
    <w:p>
      <w:pPr>
        <w:pStyle w:val="Compact"/>
      </w:pPr>
      <w:r>
        <w:t xml:space="preserve">4.95</w:t>
      </w:r>
    </w:p>
    <w:p>
      <w:pPr>
        <w:pStyle w:val="Compact"/>
      </w:pPr>
      <w:r>
        <w:t xml:space="preserve">20.86</w:t>
      </w:r>
    </w:p>
    <w:p>
      <w:pPr>
        <w:pStyle w:val="Compact"/>
      </w:pPr>
      <w:r>
        <w:t xml:space="preserve">100%</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2"/>
      </w:pPr>
      <w:bookmarkStart w:id="148" w:name="units-of-analysis"/>
      <w:r>
        <w:t xml:space="preserve">Units of Analysis</w:t>
      </w:r>
      <w:bookmarkEnd w:id="148"/>
    </w:p>
    <w:p>
      <w:pPr>
        <w:pStyle w:val="FirstParagraph"/>
      </w:pPr>
      <w:r>
        <w:t xml:space="preserve">Conventionally researchers feed entire documents into the construction of term frequencies. This method treats any term in a document as being related to any other term by the same degree. The goal of any topic mixture model algorithm is to sift these terms into different topic categories basically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and</w:t>
      </w:r>
      <w:r>
        <w:t xml:space="preserve"> </w:t>
      </w:r>
      <w:r>
        <w:rPr>
          <w:i/>
        </w:rPr>
        <w:t xml:space="preserve">other</w:t>
      </w:r>
      <w:r>
        <w:t xml:space="preserve"> </w:t>
      </w:r>
      <w:r>
        <w:t xml:space="preserve">topics different from the focal article, so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The irony of this approach is that while topics become more clear as documents become shorter, the assignment of any particular shorter document to a topic is murkier due to the smaller word count.</w:t>
      </w:r>
    </w:p>
    <w:p>
      <w:pPr>
        <w:pStyle w:val="BodyText"/>
      </w:pPr>
      <w:r>
        <w:t xml:space="preserve">Long documents will contribute more text to the corpus, but this is fair as they make up more of the population of text. Thus a simple random sample will allow better descriptive statistics. I sampled at the paragraph level because.</w:t>
      </w:r>
    </w:p>
    <w:p>
      <w:pPr>
        <w:pStyle w:val="Heading3"/>
      </w:pPr>
      <w:bookmarkStart w:id="149" w:name="how-many-topics"/>
      <w:r>
        <w:t xml:space="preserve">How many topics?</w:t>
      </w:r>
      <w:bookmarkEnd w:id="149"/>
    </w:p>
    <w:p>
      <w:pPr>
        <w:pStyle w:val="CaptionedFigure"/>
      </w:pPr>
      <w:r>
        <w:drawing>
          <wp:inline>
            <wp:extent cx="4620126" cy="3696101"/>
            <wp:effectExtent b="0" l="0" r="0" t="0"/>
            <wp:docPr descr="Figure 38 Distribution of K by convex hull" title="" id="1" name="Picture"/>
            <a:graphic>
              <a:graphicData uri="http://schemas.openxmlformats.org/drawingml/2006/picture">
                <pic:pic>
                  <pic:nvPicPr>
                    <pic:cNvPr descr="ambrose_dissertation_files/figure-docx/sim-fig-1.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38 Distribution of K by convex hull</w:t>
      </w:r>
    </w:p>
    <w:p>
      <w:pPr>
        <w:pStyle w:val="Compact"/>
      </w:pPr>
      <w:r>
        <w:t xml:space="preserve">(#tab:mlk2k)</w:t>
      </w:r>
      <w:r>
        <w:t xml:space="preserve">Kurtosis Permutation Test</w:t>
      </w:r>
    </w:p>
    <w:p>
      <w:pPr>
        <w:pStyle w:val="Compact"/>
      </w:pPr>
      <w:r>
        <w:t xml:space="preserve">level</w:t>
      </w:r>
    </w:p>
    <w:p>
      <w:pPr>
        <w:pStyle w:val="Compact"/>
      </w:pPr>
      <w:r>
        <w:t xml:space="preserve">e</w:t>
      </w:r>
    </w:p>
    <w:p>
      <w:pPr>
        <w:pStyle w:val="Compact"/>
      </w:pPr>
      <w:r>
        <w:t xml:space="preserve">se</w:t>
      </w:r>
    </w:p>
    <w:p>
      <w:pPr>
        <w:pStyle w:val="Compact"/>
      </w:pPr>
      <w:r>
        <w:t xml:space="preserve">l99</w:t>
      </w:r>
    </w:p>
    <w:p>
      <w:pPr>
        <w:pStyle w:val="Compact"/>
      </w:pPr>
      <w:r>
        <w:t xml:space="preserve">u99</w:t>
      </w:r>
    </w:p>
    <w:p>
      <w:pPr>
        <w:pStyle w:val="Compact"/>
      </w:pPr>
      <w:r>
        <w:t xml:space="preserve">P(e ≦ 0)</w:t>
      </w:r>
    </w:p>
    <w:p>
      <w:pPr>
        <w:pStyle w:val="Compact"/>
      </w:pPr>
      <w:r>
        <w:t xml:space="preserve">doc</w:t>
      </w:r>
    </w:p>
    <w:p>
      <w:pPr>
        <w:pStyle w:val="Compact"/>
      </w:pPr>
      <w:r>
        <w:t xml:space="preserve">-0.0932</w:t>
      </w:r>
    </w:p>
    <w:p>
      <w:pPr>
        <w:pStyle w:val="Compact"/>
      </w:pPr>
      <w:r>
        <w:t xml:space="preserve">0.1149</w:t>
      </w:r>
    </w:p>
    <w:p>
      <w:pPr>
        <w:pStyle w:val="Compact"/>
      </w:pPr>
      <w:r>
        <w:t xml:space="preserve">-0.3682</w:t>
      </w:r>
    </w:p>
    <w:p>
      <w:pPr>
        <w:pStyle w:val="Compact"/>
      </w:pPr>
      <w:r>
        <w:t xml:space="preserve">0.2252</w:t>
      </w:r>
    </w:p>
    <w:p>
      <w:pPr>
        <w:pStyle w:val="Compact"/>
      </w:pPr>
      <w:r>
        <w:t xml:space="preserve">0.7948</w:t>
      </w:r>
    </w:p>
    <w:p>
      <w:pPr>
        <w:pStyle w:val="Compact"/>
      </w:pPr>
      <w:r>
        <w:t xml:space="preserve">par</w:t>
      </w:r>
    </w:p>
    <w:p>
      <w:pPr>
        <w:pStyle w:val="Compact"/>
      </w:pPr>
      <w:r>
        <w:t xml:space="preserve">-0.1125</w:t>
      </w:r>
    </w:p>
    <w:p>
      <w:pPr>
        <w:pStyle w:val="Compact"/>
      </w:pPr>
      <w:r>
        <w:t xml:space="preserve">0.1206</w:t>
      </w:r>
    </w:p>
    <w:p>
      <w:pPr>
        <w:pStyle w:val="Compact"/>
      </w:pPr>
      <w:r>
        <w:t xml:space="preserve">-0.3999</w:t>
      </w:r>
    </w:p>
    <w:p>
      <w:pPr>
        <w:pStyle w:val="Compact"/>
      </w:pPr>
      <w:r>
        <w:t xml:space="preserve">0.2185</w:t>
      </w:r>
    </w:p>
    <w:p>
      <w:pPr>
        <w:pStyle w:val="Compact"/>
      </w:pPr>
      <w:r>
        <w:t xml:space="preserve">0.8257</w:t>
      </w:r>
    </w:p>
    <w:p>
      <w:pPr>
        <w:pStyle w:val="Compact"/>
      </w:pPr>
      <w:r>
        <w:t xml:space="preserve">sen</w:t>
      </w:r>
    </w:p>
    <w:p>
      <w:pPr>
        <w:pStyle w:val="Compact"/>
      </w:pPr>
      <w:r>
        <w:t xml:space="preserve">0.0118</w:t>
      </w:r>
    </w:p>
    <w:p>
      <w:pPr>
        <w:pStyle w:val="Compact"/>
      </w:pPr>
      <w:r>
        <w:t xml:space="preserve">0.2304</w:t>
      </w:r>
    </w:p>
    <w:p>
      <w:pPr>
        <w:pStyle w:val="Compact"/>
      </w:pPr>
      <w:r>
        <w:t xml:space="preserve">-0.5078</w:t>
      </w:r>
    </w:p>
    <w:p>
      <w:pPr>
        <w:pStyle w:val="Compact"/>
      </w:pPr>
      <w:r>
        <w:t xml:space="preserve">0.6471</w:t>
      </w:r>
    </w:p>
    <w:p>
      <w:pPr>
        <w:pStyle w:val="Compact"/>
      </w:pPr>
      <w:r>
        <w:t xml:space="preserve">0.4973</w:t>
      </w:r>
    </w:p>
    <w:p>
      <w:pPr>
        <w:pStyle w:val="CaptionedFigure"/>
      </w:pPr>
      <w:r>
        <w:drawing>
          <wp:inline>
            <wp:extent cx="4620126" cy="3696101"/>
            <wp:effectExtent b="0" l="0" r="0" t="0"/>
            <wp:docPr descr="Figure 39 Significant Counts of K" title="" id="1" name="Picture"/>
            <a:graphic>
              <a:graphicData uri="http://schemas.openxmlformats.org/drawingml/2006/picture">
                <pic:pic>
                  <pic:nvPicPr>
                    <pic:cNvPr descr="ambrose_dissertation_files/figure-docx/mlk-tab-1.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39 Significant Counts of K</w:t>
      </w:r>
    </w:p>
    <w:p>
      <w:pPr>
        <w:pStyle w:val="Heading2"/>
      </w:pPr>
      <w:bookmarkStart w:id="152" w:name="topic-interpretation-1"/>
      <w:r>
        <w:t xml:space="preserve"> </w:t>
      </w:r>
      <w:r>
        <w:t xml:space="preserve">Topic interpretation</w:t>
      </w:r>
      <w:bookmarkEnd w:id="152"/>
    </w:p>
    <w:p>
      <w:pPr>
        <w:pStyle w:val="FirstParagraph"/>
      </w:pPr>
      <w:r>
        <w:t xml:space="preserve">(ref:soc-mod-viz) Topic Term Explorer, K=50.</w:t>
      </w:r>
      <w:r>
        <w:t xml:space="preserve"> </w:t>
      </w:r>
      <w:hyperlink r:id="rId153">
        <w:r>
          <w:rPr>
            <w:i/>
            <w:rStyle w:val="Hyperlink"/>
          </w:rPr>
          <w:t xml:space="preserve">Interactive pop-out.</w:t>
        </w:r>
      </w:hyperlink>
    </w:p>
    <w:p>
      <w:pPr>
        <w:pStyle w:val="CaptionedFigure"/>
      </w:pPr>
      <w:r>
        <w:drawing>
          <wp:inline>
            <wp:extent cx="5334000" cy="3408000"/>
            <wp:effectExtent b="0" l="0" r="0" t="0"/>
            <wp:docPr descr="Figure 40 (ref:soc-mod-viz)" title="" id="1" name="Picture"/>
            <a:graphic>
              <a:graphicData uri="http://schemas.openxmlformats.org/drawingml/2006/picture">
                <pic:pic>
                  <pic:nvPicPr>
                    <pic:cNvPr descr="img/soc-mod-viz.png" id="0" name="Picture"/>
                    <pic:cNvPicPr>
                      <a:picLocks noChangeArrowheads="1" noChangeAspect="1"/>
                    </pic:cNvPicPr>
                  </pic:nvPicPr>
                  <pic:blipFill>
                    <a:blip r:embed="rId154"/>
                    <a:stretch>
                      <a:fillRect/>
                    </a:stretch>
                  </pic:blipFill>
                  <pic:spPr bwMode="auto">
                    <a:xfrm>
                      <a:off x="0" y="0"/>
                      <a:ext cx="5334000" cy="3408000"/>
                    </a:xfrm>
                    <a:prstGeom prst="rect">
                      <a:avLst/>
                    </a:prstGeom>
                    <a:noFill/>
                    <a:ln w="9525">
                      <a:noFill/>
                      <a:headEnd/>
                      <a:tailEnd/>
                    </a:ln>
                  </pic:spPr>
                </pic:pic>
              </a:graphicData>
            </a:graphic>
          </wp:inline>
        </w:drawing>
      </w:r>
    </w:p>
    <w:p>
      <w:pPr>
        <w:pStyle w:val="ImageCaption"/>
      </w:pPr>
      <w:r>
        <w:t xml:space="preserve">Figure 40 (ref:soc-mod-viz)</w:t>
      </w:r>
    </w:p>
    <w:p>
      <w:pPr>
        <w:pStyle w:val="Heading1"/>
      </w:pPr>
      <w:bookmarkStart w:id="155" w:name="cit"/>
      <w:r>
        <w:t xml:space="preserve">The Social Science Citation Landscape, 1900-1940</w:t>
      </w:r>
      <w:bookmarkEnd w:id="155"/>
    </w:p>
    <w:p>
      <w:pPr>
        <w:pStyle w:val="Heading4"/>
      </w:pPr>
      <w:bookmarkStart w:id="156" w:name="abstract-4"/>
      <w:r>
        <w:t xml:space="preserve">Abstract</w:t>
      </w:r>
      <w:bookmarkEnd w:id="156"/>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Heading4"/>
      </w:pPr>
      <w:bookmarkStart w:id="157" w:name="keywords-4"/>
      <w:r>
        <w:t xml:space="preserve">Keywords</w:t>
      </w:r>
      <w:bookmarkEnd w:id="157"/>
    </w:p>
    <w:p>
      <w:pPr>
        <w:pStyle w:val="FirstParagraph"/>
      </w:pPr>
      <w:r>
        <w:t xml:space="preserve">citations, k-clique communities, community detection, landscape</w:t>
      </w:r>
    </w:p>
    <w:p>
      <w:r>
        <w:pict>
          <v:rect style="width:0;height:1.5pt" o:hralign="center" o:hrstd="t" o:hr="t"/>
        </w:pict>
      </w:r>
    </w:p>
    <w:p>
      <w:pPr>
        <w:pStyle w:val="Heading3"/>
      </w:pPr>
      <w:bookmarkStart w:id="158" w:name="wok"/>
      <w:r>
        <w:t xml:space="preserve">Mapping Knowledge Terrain</w:t>
      </w:r>
      <w:bookmarkEnd w:id="158"/>
    </w:p>
    <w:p>
      <w:pPr>
        <w:pStyle w:val="FirstParagraph"/>
      </w:pPr>
      <w:r>
        <w:t xml:space="preserve">There are two reasons to map knowledge spaces. First, we may want to know how knowledge develops as a resource unto itself. Second, we may want to exploit such a map for a productive purpose. Here we will attempt the second as prologue to the first. We will tackle the technical problems of constructing a map. We will show how a map can be put to use. Finally, we will investigate how the particular map we make may tend to predictably get us lost.</w:t>
      </w:r>
    </w:p>
    <w:p>
      <w:pPr>
        <w:pStyle w:val="BodyText"/>
      </w:pPr>
      <w:r>
        <w:t xml:space="preserve">All knowledge mapping requires first an ontological and then an analytical action. Ontological actions delineate the things that matter. They arbitrarily construct from perception the items that we then think about. While ontological decisions tend to define the scope of everything that may be learned from an investigation, they are often assumed rather than demonstrated. Actor Network Theory (ANT) provides a unique example of a method of research that, because it is ethnographic and thus marinating in an abundance of perception, allows the cast of ontic characters to grow. Literally anything can be deigned significant for inclusion in a web of knowledge. In an ANT study of science, if the feel of a reading chair modifies a reader’s orientation to a text they are reading, the chair counts.</w:t>
      </w:r>
    </w:p>
    <w:p>
      <w:pPr>
        <w:pStyle w:val="BodyText"/>
      </w:pPr>
      <w:r>
        <w:t xml:space="preserve">The lion’s share of knowledge mapping studies are not so ontologically radical as ANT. Take the field of bibliometrics. The ontological decision here is to take documents as the primary ontic. Documents are nothing but collections of glyphs, so the first task of bibliometricians tends to be to map glyphs to terms and analyze them. Here we have already used the ontic triad underlying bibliometrics. In the sentence</w:t>
      </w:r>
    </w:p>
    <w:p>
      <w:pPr>
        <w:pStyle w:val="BlockText"/>
      </w:pPr>
      <w:r>
        <w:t xml:space="preserve">“</w:t>
      </w:r>
      <w:r>
        <w:t xml:space="preserve">Go, dog, go!</w:t>
      </w:r>
      <w:r>
        <w:t xml:space="preserve">”</w:t>
      </w:r>
    </w:p>
    <w:p>
      <w:pPr>
        <w:pStyle w:val="FirstParagraph"/>
      </w:pPr>
      <w:r>
        <w:t xml:space="preserve">there are twelve discrete glyphs and two terms. A grammatical cutting rule renders the glyph sequences as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and a tokenization rule maps the cuts to two terms</w:t>
      </w:r>
    </w:p>
    <w:p>
      <w:pPr>
        <w:pStyle w:val="BlockText"/>
      </w:pPr>
      <w:r>
        <w:t xml:space="preserve">“</w:t>
      </w:r>
      <w:r>
        <w:t xml:space="preserve">go</w:t>
      </w:r>
      <w:r>
        <w:t xml:space="preserve">”</w:t>
      </w:r>
      <w:r>
        <w:t xml:space="preserve"> </w:t>
      </w:r>
      <w:r>
        <w:t xml:space="preserve">“</w:t>
      </w:r>
      <w:r>
        <w:t xml:space="preserve">dog</w:t>
      </w:r>
      <w:r>
        <w:t xml:space="preserve">”</w:t>
      </w:r>
      <w:r>
        <w:t xml:space="preserve"> </w:t>
      </w:r>
      <w:r>
        <w:t xml:space="preserve">“</w:t>
      </w:r>
      <w:r>
        <w:t xml:space="preserve">go</w:t>
      </w:r>
      <w:r>
        <w:t xml:space="preserve">”</w:t>
      </w:r>
    </w:p>
    <w:p>
      <w:pPr>
        <w:pStyle w:val="FirstParagraph"/>
      </w:pPr>
      <w:r>
        <w:t xml:space="preserve">which may in turn be analyzed, for instance by counting the tokens. The documents form the bins within and across which the terms will be analyzed. The token, as a mere operational step, is used and then dispensed with unless questions of measurement surface. Clearly the</w:t>
      </w:r>
      <w:r>
        <w:t xml:space="preserve"> </w:t>
      </w:r>
      <w:r>
        <w:rPr>
          <w:i/>
        </w:rPr>
        <w:t xml:space="preserve">glyph-term-document</w:t>
      </w:r>
      <w:r>
        <w:t xml:space="preserve"> </w:t>
      </w:r>
      <w:r>
        <w:t xml:space="preserve">(GTD) ontic does not care about the armchair of a reader of a document, and indeed does not even care about the reader herself.</w:t>
      </w:r>
      <w:r>
        <w:t xml:space="preserve"> </w:t>
      </w:r>
    </w:p>
    <w:p>
      <w:pPr>
        <w:pStyle w:val="BodyText"/>
      </w:pPr>
      <w:r>
        <w:t xml:space="preserve">So the reader is invisible because she is not inscribed in the document. What about the writer? Bibliometricians may back fill GTD by entity recognition or grounding. Once terms are recognized, we may further recognize that we know more about them. A simple example of this is pulling out</w:t>
      </w:r>
      <w:r>
        <w:t xml:space="preserve"> </w:t>
      </w:r>
      <w:r>
        <w:t xml:space="preserve">“</w:t>
      </w:r>
      <w:r>
        <w:t xml:space="preserve">metadata</w:t>
      </w:r>
      <w:r>
        <w:t xml:space="preserve">”</w:t>
      </w:r>
      <w:r>
        <w:t xml:space="preserve">, for instance, the author of a document. The author’s name is not just any term, but a conceptually very important one. Grounding is how bibliometrics may be linked to theories and programs of greater importance.</w:t>
      </w:r>
    </w:p>
    <w:p>
      <w:pPr>
        <w:pStyle w:val="BodyText"/>
      </w:pPr>
      <w:r>
        <w:t xml:space="preserve">Bibliometrics has indeed been based more on the reference of a text as a particular grounded entity rather than on the use of the full text of a document. If a text is a building, the reference is its address. More precise than a name, an address is a codification of different hierarchically ordered elements that describe the location of an entity. The consistent tokenization of a reference is not an easy task, as it depends on entity recognition of several different kinds of things, including year of publication, author, title, and source.</w:t>
      </w:r>
    </w:p>
    <w:p>
      <w:pPr>
        <w:pStyle w:val="BodyText"/>
      </w:pPr>
      <w:r>
        <w:t xml:space="preserve">The citation became the basis of the concept of a web of knowledge as coined in the work of Eugene Garfield and institutionalized in the Institute for Scientific Information (ISI).</w:t>
      </w:r>
    </w:p>
    <w:p>
      <w:pPr>
        <w:pStyle w:val="BodyText"/>
      </w:pPr>
      <w:r>
        <w:t xml:space="preserve">Citations solved the problem that ideas do not have signatures or addresses that we can trace reliably. Jargon is an attempt to give an idea a unique address as an idiosyncratic term, and etymology seeks to hierarchically order words according to their origins, but an idea per se will always elude precise identification. Unlike a document, an idea is not mechanically reproducible; it always requires interpretation and understanding in a mind, and a mental event as subtle as an idea cannot be observed.</w:t>
      </w:r>
    </w:p>
    <w:p>
      <w:pPr>
        <w:pStyle w:val="BodyText"/>
      </w:pPr>
      <w:r>
        <w:t xml:space="preserve">(Lederberg</w:t>
      </w:r>
      <w:r>
        <w:t xml:space="preserve"> </w:t>
      </w:r>
      <w:hyperlink w:anchor="ref-Lederberg2000How">
        <w:r>
          <w:rPr>
            <w:rStyle w:val="Hyperlink"/>
          </w:rPr>
          <w:t xml:space="preserve">2000</w:t>
        </w:r>
      </w:hyperlink>
      <w:r>
        <w:t xml:space="preserve">)</w:t>
      </w:r>
      <w:r>
        <w:t xml:space="preserve"> </w:t>
      </w:r>
      <w:r>
        <w:t xml:space="preserve">Garfield conflates citations with several roles in the network around ideas. Compares value of citations to value of subject coders, coding meaning of paragraphs intractable. ISI became a commercial pursuit because Garfield failed to get scientific institutions, especially the NSF, to fund it. The goal was primarily practical, to give researches access to current or historical references relevant to articles, perhaps especially their own, they knew they were already interested in.</w:t>
      </w:r>
    </w:p>
    <w:p>
      <w:pPr>
        <w:pStyle w:val="BodyText"/>
      </w:pPr>
      <w:r>
        <w:t xml:space="preserve">Unlike ideas, documents are physical artifacts and can be traced empirically. They are fungible, reproducible, and locatable with addresses.</w:t>
      </w:r>
    </w:p>
    <w:p>
      <w:pPr>
        <w:pStyle w:val="BodyText"/>
      </w:pPr>
      <w:r>
        <w:t xml:space="preserve">The reproduction and location of ideas cannot be reliably observed, and documents only contain ideas in a metaphorical sense, as a Leyden jar was once thought to contain electricity.</w:t>
      </w:r>
    </w:p>
    <w:p>
      <w:pPr>
        <w:pStyle w:val="BodyText"/>
      </w:pPr>
      <w:r>
        <w:t xml:space="preserve">Documents are the tangible and fungible currency with which scholars communicate about ideas, yet how knowledge is actually communicated via documents is not amenable to direct observation at scale. In bibliometrics they have served as a proxy for ideas.</w:t>
      </w:r>
    </w:p>
    <w:p>
      <w:pPr>
        <w:pStyle w:val="BodyText"/>
      </w:pPr>
      <w:r>
        <w:t xml:space="preserve">There have been two main orientations to mapping the web of knowledge, description and conscription. Description has either scientific aims, to understand and explain the facts of knowledge development, or practical aims, to locate and retrieve knowledge required for a particular purpose. Conscription on the other hand aims to mobilize bibliometric patterns of knowledge as measures of value in competitive markets, namely hiring, promotion, and awards within scholarly professions.</w:t>
      </w:r>
    </w:p>
    <w:p>
      <w:pPr>
        <w:pStyle w:val="BodyText"/>
      </w:pPr>
      <w:r>
        <w:t xml:space="preserve">There are several ways to digitally represent texts as knowledge.</w:t>
      </w:r>
    </w:p>
    <w:p>
      <w:pPr>
        <w:pStyle w:val="BodyText"/>
      </w:pPr>
      <w:r>
        <w:t xml:space="preserve">From an empirical perspective, texts are nothing but collections or bins of glyphs. The current paradigm is to render glyphs and recognize them as terms. Such terms may then be analyzed, for instance, by counting diction. Alternative paradigms are cropping up</w:t>
      </w:r>
    </w:p>
    <w:p>
      <w:pPr>
        <w:pStyle w:val="BodyText"/>
      </w:pPr>
      <w:r>
        <w:t xml:space="preserve">Second is entity recognition or grounding, where recognized terms are mapped to an existing database of structured knowledge.</w:t>
      </w:r>
    </w:p>
    <w:p>
      <w:pPr>
        <w:pStyle w:val="BodyText"/>
      </w:pPr>
      <w:r>
        <w:t xml:space="preserve">(Pilkington and Meredith</w:t>
      </w:r>
      <w:r>
        <w:t xml:space="preserve"> </w:t>
      </w:r>
      <w:hyperlink w:anchor="ref-Pilkington2009evolution">
        <w:r>
          <w:rPr>
            <w:rStyle w:val="Hyperlink"/>
          </w:rPr>
          <w:t xml:space="preserve">2009</w:t>
        </w:r>
      </w:hyperlink>
      <w:r>
        <w:t xml:space="preserve">)</w:t>
      </w:r>
    </w:p>
    <w:p>
      <w:pPr>
        <w:pStyle w:val="Heading2"/>
      </w:pPr>
      <w:bookmarkStart w:id="159" w:name="X149e5b3b957ca88293814dc48bcf2d2e8d36b2a"/>
      <w:r>
        <w:t xml:space="preserve">Disciplines as a Large World Co-reference Network</w:t>
      </w:r>
      <w:bookmarkEnd w:id="159"/>
    </w:p>
    <w:p>
      <w:pPr>
        <w:pStyle w:val="FirstParagraph"/>
      </w:pPr>
      <w:r>
        <w:t xml:space="preserve">A large world network is not amenable to traditional visual representations due to its extreme density. Scholars often use edge filtering to reduce this density down to a manageable size for visualization. Unfortunately this convenience function renders a large world as a small world and grossly misrepresents the true structure of the network. In the KCC representation, the network is partitioned into subnetworks of differential density. Nodes are included in a subnetwork if they are involved in ties at a given floor of density, for instance, they need to be tied to at least five other nodes. At a level of five, then, nodes involved in only four ties would be excluded. As this standard is raised, more nodes are excluded. This results in a nested set of subnetworks, where nodes included in a community at a lower threshold are excluded at a higher threshold. Subnetworks of lower density thresholds are always as big or larger than those at higher thresholds. Moreover, higher density subnetworks are always subsets of lower density communities, as their density meets and exceeds the standard for inclusion at the lower level. As one can imagine, inclusive levels are larger. As the threshold is raised subgroupings are sloughed off until reaching points of maximal density. In a world where almost everything is connected, there are no structural holes to reveal differences between subnetworks. Instead, we can view the structure as gradations in density within a very densely connected world.</w:t>
      </w:r>
    </w:p>
    <w:p>
      <w:pPr>
        <w:pStyle w:val="BodyText"/>
      </w:pPr>
      <w:r>
        <w:t xml:space="preserve">Nodes meeting the highest standards can be thought of as omnivorous; their ties draw them to the masses, but the masses are not sufficiently tied to the higher standard community. Where the gentry may be as comfortable at the movies as at the symphony, the laity lacks access to the more erudite circles.</w:t>
      </w:r>
    </w:p>
    <w:p>
      <w:pPr>
        <w:pStyle w:val="BodyText"/>
      </w:pPr>
      <w:r>
        <w:t xml:space="preserve">What is the credential that would allow a node to climb the hierarchy? One’s list of acquaintances must overlap by a certain amount (defined by the threshold) with the membership of the higher tier. Indeed their inclusion would change the credentials of everyone they are tied with, as anyone who was just under the standard would be tipped in based on their friend’s promotion.</w:t>
      </w:r>
    </w:p>
    <w:p>
      <w:pPr>
        <w:pStyle w:val="BodyText"/>
      </w:pPr>
      <w:r>
        <w:t xml:space="preserve">In the KCC model the references are the members of the hierarchy. Their association with each other is determined by how they are used by published authors. Authors who include two references on their bibliography tie those references together in the network. Indeed each citing article lays down a dense clique of references, and the impact of an article grows quadratically with the length of its reference list.</w:t>
      </w:r>
    </w:p>
    <w:p>
      <w:pPr>
        <w:pStyle w:val="Heading3"/>
      </w:pPr>
      <w:bookmarkStart w:id="160" w:name="methods"/>
      <w:r>
        <w:t xml:space="preserve">Methods</w:t>
      </w:r>
      <w:bookmarkEnd w:id="160"/>
    </w:p>
    <w:p>
      <w:pPr>
        <w:pStyle w:val="Heading3"/>
      </w:pPr>
      <w:bookmarkStart w:id="161" w:name="data-1"/>
      <w:r>
        <w:t xml:space="preserve">Data</w:t>
      </w:r>
      <w:bookmarkEnd w:id="161"/>
    </w:p>
    <w:p>
      <w:pPr>
        <w:pStyle w:val="Heading2"/>
      </w:pPr>
      <w:bookmarkStart w:id="162" w:name="results-2"/>
      <w:r>
        <w:t xml:space="preserve">Results</w:t>
      </w:r>
      <w:bookmarkEnd w:id="162"/>
    </w:p>
    <w:p>
      <w:pPr>
        <w:pStyle w:val="FirstParagraph"/>
      </w:pPr>
      <w:r>
        <w:t xml:space="preserve">The structure of a large world as revealed by KCC can be explored in a bottom-up and top-down fashion. Bottom-up observes 3-clique communities first. In the social science co-reference network.</w:t>
      </w:r>
    </w:p>
    <w:p>
      <w:pPr>
        <w:pStyle w:val="CaptionedFigure"/>
      </w:pPr>
      <w:r>
        <w:drawing>
          <wp:inline>
            <wp:extent cx="5334000" cy="4893056"/>
            <wp:effectExtent b="0" l="0" r="0" t="0"/>
            <wp:docPr descr="Figure 41 K-clique Community Structure. Interactive pop-out." title="" id="1" name="Picture"/>
            <a:graphic>
              <a:graphicData uri="http://schemas.openxmlformats.org/drawingml/2006/picture">
                <pic:pic>
                  <pic:nvPicPr>
                    <pic:cNvPr descr="img/kcc2tree.png" id="0" name="Picture"/>
                    <pic:cNvPicPr>
                      <a:picLocks noChangeArrowheads="1" noChangeAspect="1"/>
                    </pic:cNvPicPr>
                  </pic:nvPicPr>
                  <pic:blipFill>
                    <a:blip r:embed="rId163"/>
                    <a:stretch>
                      <a:fillRect/>
                    </a:stretch>
                  </pic:blipFill>
                  <pic:spPr bwMode="auto">
                    <a:xfrm>
                      <a:off x="0" y="0"/>
                      <a:ext cx="5334000" cy="4893056"/>
                    </a:xfrm>
                    <a:prstGeom prst="rect">
                      <a:avLst/>
                    </a:prstGeom>
                    <a:noFill/>
                    <a:ln w="9525">
                      <a:noFill/>
                      <a:headEnd/>
                      <a:tailEnd/>
                    </a:ln>
                  </pic:spPr>
                </pic:pic>
              </a:graphicData>
            </a:graphic>
          </wp:inline>
        </w:drawing>
      </w:r>
    </w:p>
    <w:p>
      <w:pPr>
        <w:pStyle w:val="ImageCaption"/>
      </w:pPr>
      <w:r>
        <w:t xml:space="preserve">Figure 41 K-clique Community Structure.</w:t>
      </w:r>
      <w:r>
        <w:t xml:space="preserve"> </w:t>
      </w:r>
      <w:hyperlink r:id="rId164">
        <w:r>
          <w:rPr>
            <w:i/>
            <w:rStyle w:val="Hyperlink"/>
          </w:rPr>
          <w:t xml:space="preserve">Interactive pop-out.</w:t>
        </w:r>
      </w:hyperlink>
    </w:p>
    <w:p>
      <w:pPr>
        <w:pStyle w:val="BodyText"/>
      </w:pPr>
      <w:r>
        <w:t xml:space="preserve">Figure</w:t>
      </w:r>
      <w:r>
        <w:t xml:space="preserve"> </w:t>
      </w:r>
      <w:r>
        <w:t xml:space="preserve">41</w:t>
      </w:r>
      <w:r>
        <w:t xml:space="preserve"> </w:t>
      </w:r>
      <w:r>
        <w:t xml:space="preserve">shows a KCC model of the social sciences in the first half of the twentieth century.</w:t>
      </w:r>
    </w:p>
    <w:p>
      <w:pPr>
        <w:pStyle w:val="BodyText"/>
      </w:pPr>
      <w:r>
        <w:t xml:space="preserve">Disciplinarity and interdisciplinarity are revealed in a novel fashion in the KCC model. Disciplinarity is shown as a level of exclusion.</w:t>
      </w:r>
    </w:p>
    <w:p>
      <w:pPr>
        <w:pStyle w:val="Heading3"/>
      </w:pPr>
      <w:bookmarkStart w:id="165" w:name="continents"/>
      <w:r>
        <w:t xml:space="preserve">Continents</w:t>
      </w:r>
      <w:bookmarkEnd w:id="165"/>
    </w:p>
    <w:p>
      <w:pPr>
        <w:pStyle w:val="FirstParagraph"/>
      </w:pPr>
      <w:r>
        <w:t xml:space="preserve">The global map is made of many separate regions ranging in scale from large continents to small isles. These regions are either shallowly connected or entirely separated from each other. The vast majority of these regions are</w:t>
      </w:r>
      <w:r>
        <w:t xml:space="preserve"> </w:t>
      </w:r>
      <w:r>
        <w:t xml:space="preserve">“</w:t>
      </w:r>
      <w:r>
        <w:t xml:space="preserve">flat isles</w:t>
      </w:r>
      <w:r>
        <w:t xml:space="preserve">”</w:t>
      </w:r>
      <w:r>
        <w:t xml:space="preserve"> </w:t>
      </w:r>
      <w:r>
        <w:t xml:space="preserve">with little to no internal structure of their own. Most flat isles are supported by only a single article, some by a couple of articles penned by the same author, and only a few represent real activity among a small group of different authors.</w:t>
      </w:r>
    </w:p>
    <w:p>
      <w:pPr>
        <w:pStyle w:val="CaptionedFigure"/>
      </w:pPr>
      <w:r>
        <w:drawing>
          <wp:inline>
            <wp:extent cx="5334000" cy="3429000"/>
            <wp:effectExtent b="0" l="0" r="0" t="0"/>
            <wp:docPr descr="Figure 42 Flat Isles, where Reviewers tend their Flock" title="" id="1" name="Picture"/>
            <a:graphic>
              <a:graphicData uri="http://schemas.openxmlformats.org/drawingml/2006/picture">
                <pic:pic>
                  <pic:nvPicPr>
                    <pic:cNvPr descr="img/flat-isle.png" id="0" name="Picture"/>
                    <pic:cNvPicPr>
                      <a:picLocks noChangeArrowheads="1" noChangeAspect="1"/>
                    </pic:cNvPicPr>
                  </pic:nvPicPr>
                  <pic:blipFill>
                    <a:blip r:embed="rId16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42 Flat Isles, where Reviewers tend their Flock</w:t>
      </w:r>
    </w:p>
    <w:p>
      <w:pPr>
        <w:pStyle w:val="BodyText"/>
      </w:pPr>
      <w:r>
        <w:t xml:space="preserve">The most substantial flat isle</w:t>
      </w:r>
      <w:r>
        <w:t xml:space="preserve"> </w:t>
      </w:r>
      <w:r>
        <w:t xml:space="preserve">, the largest unenclosed and unenclosing circle in Figure</w:t>
      </w:r>
      <w:r>
        <w:t xml:space="preserve"> </w:t>
      </w:r>
      <w:r>
        <w:t xml:space="preserve">42</w:t>
      </w:r>
      <w:r>
        <w:t xml:space="preserve">, comes from four authors publishing in the same 1930</w:t>
      </w:r>
      <w:r>
        <w:t xml:space="preserve"> </w:t>
      </w:r>
      <w:hyperlink r:id="rId167">
        <w:r>
          <w:rPr>
            <w:rStyle w:val="Hyperlink"/>
          </w:rPr>
          <w:t xml:space="preserve">issue</w:t>
        </w:r>
      </w:hyperlink>
      <w:r>
        <w:t xml:space="preserve"> </w:t>
      </w:r>
      <w:r>
        <w:t xml:space="preserve">of</w:t>
      </w:r>
      <w:r>
        <w:t xml:space="preserve"> </w:t>
      </w:r>
      <w:r>
        <w:rPr>
          <w:i/>
        </w:rPr>
        <w:t xml:space="preserve">Zeitschrift Fur Nationalokonomie</w:t>
      </w:r>
      <w:r>
        <w:t xml:space="preserve">. It includes 50 references the most prominent of which are Angell’s 1926</w:t>
      </w:r>
      <w:r>
        <w:t xml:space="preserve"> </w:t>
      </w:r>
      <w:r>
        <w:rPr>
          <w:i/>
        </w:rPr>
        <w:t xml:space="preserve">The Theory of International Prices</w:t>
      </w:r>
      <w:r>
        <w:t xml:space="preserve"> </w:t>
      </w:r>
      <w:r>
        <w:t xml:space="preserve">and Tugwell’s 1924</w:t>
      </w:r>
      <w:r>
        <w:t xml:space="preserve"> </w:t>
      </w:r>
      <w:r>
        <w:rPr>
          <w:i/>
        </w:rPr>
        <w:t xml:space="preserve">The Trends of Economics</w:t>
      </w:r>
      <w:r>
        <w:t xml:space="preserve">. The structure of the group is provided entirely by an article by Robert Reisch</w:t>
      </w:r>
      <w:r>
        <w:t xml:space="preserve"> </w:t>
      </w:r>
      <w:r>
        <w:t xml:space="preserve">; the other three shared no references in common and Reisch’s article, titled</w:t>
      </w:r>
      <w:r>
        <w:t xml:space="preserve"> </w:t>
      </w:r>
      <w:r>
        <w:t xml:space="preserve">“</w:t>
      </w:r>
      <w:r>
        <w:t xml:space="preserve">The</w:t>
      </w:r>
      <w:r>
        <w:t xml:space="preserve"> </w:t>
      </w:r>
      <w:r>
        <w:t xml:space="preserve">‘</w:t>
      </w:r>
      <w:r>
        <w:t xml:space="preserve">Deposit</w:t>
      </w:r>
      <w:r>
        <w:t xml:space="preserve">’</w:t>
      </w:r>
      <w:r>
        <w:t xml:space="preserve">-Myth In Banking Theory</w:t>
      </w:r>
      <w:r>
        <w:t xml:space="preserve">”</w:t>
      </w:r>
      <w:r>
        <w:t xml:space="preserve"> </w:t>
      </w:r>
      <w:r>
        <w:t xml:space="preserve">and containing 108 references, is likely to have been written as an introduction to the journal on the basis of what had already been accepted for publication.</w:t>
      </w:r>
    </w:p>
    <w:p>
      <w:pPr>
        <w:pStyle w:val="BodyText"/>
      </w:pPr>
      <w:r>
        <w:t xml:space="preserve">Another flat isle of four articles has the exact same pattern, also from</w:t>
      </w:r>
      <w:r>
        <w:t xml:space="preserve"> </w:t>
      </w:r>
      <w:r>
        <w:rPr>
          <w:i/>
        </w:rPr>
        <w:t xml:space="preserve">Zeitschrift Fur Nationalokonomie</w:t>
      </w:r>
      <w:r>
        <w:t xml:space="preserve"> </w:t>
      </w:r>
      <w:r>
        <w:t xml:space="preserve">but from an</w:t>
      </w:r>
      <w:r>
        <w:t xml:space="preserve"> </w:t>
      </w:r>
      <w:hyperlink r:id="rId168">
        <w:r>
          <w:rPr>
            <w:rStyle w:val="Hyperlink"/>
          </w:rPr>
          <w:t xml:space="preserve">issue</w:t>
        </w:r>
      </w:hyperlink>
      <w:r>
        <w:t xml:space="preserve"> </w:t>
      </w:r>
      <w:r>
        <w:t xml:space="preserve">in 1937, the article on the first page of the issue, titled</w:t>
      </w:r>
      <w:r>
        <w:t xml:space="preserve"> </w:t>
      </w:r>
      <w:r>
        <w:t xml:space="preserve">“</w:t>
      </w:r>
      <w:r>
        <w:t xml:space="preserve">Theory Of Capital, Introduction</w:t>
      </w:r>
      <w:r>
        <w:t xml:space="preserve">”</w:t>
      </w:r>
      <w:r>
        <w:t xml:space="preserve"> </w:t>
      </w:r>
      <w:r>
        <w:t xml:space="preserve"> </w:t>
      </w:r>
      <w:r>
        <w:t xml:space="preserve">by von Hayek and containing 25 references, includes subsections of the bibliographies of three other articles that do not themselves overlap. Normally the longer a bibliography the more likely it is that an article functions as a review linking other disparate bibliographies. That von Hayek’s article has such a short bibliography and yet still links three otherwise separate articles confirms its derivative character.</w:t>
      </w:r>
    </w:p>
    <w:p>
      <w:pPr>
        <w:pStyle w:val="BodyText"/>
      </w:pPr>
      <w:r>
        <w:t xml:space="preserve">The following features then suggest when a flat isle represents an issue introduction. All articles are published in the same issue. The removal of the longest bibliography in the community yields a network of disconnected components each uniquely representing the remaining bibs. This longest bib is also either the first article in the issue or precedes the others in pagination. These characteristics suggest authorship internal to the editorial process itself. Later we will explore how the removal of such articles helps to reveal</w:t>
      </w:r>
      <w:r>
        <w:t xml:space="preserve"> </w:t>
      </w:r>
      <w:r>
        <w:t xml:space="preserve">“</w:t>
      </w:r>
      <w:r>
        <w:t xml:space="preserve">bottom-up</w:t>
      </w:r>
      <w:r>
        <w:t xml:space="preserve">”</w:t>
      </w:r>
      <w:r>
        <w:t xml:space="preserve"> </w:t>
      </w:r>
      <w:r>
        <w:t xml:space="preserve">structure by removing the editorial advantage of certain authors to bestow an ad hoc intellectual coherence on scholarship.</w:t>
      </w:r>
    </w:p>
    <w:p>
      <w:pPr>
        <w:pStyle w:val="BodyText"/>
      </w:pPr>
      <w:r>
        <w:t xml:space="preserve">Table</w:t>
      </w:r>
      <w:r>
        <w:t xml:space="preserve"> </w:t>
      </w:r>
      <w:r>
        <w:t xml:space="preserve">??</w:t>
      </w:r>
      <w:r>
        <w:t xml:space="preserve"> </w:t>
      </w:r>
      <w:r>
        <w:t xml:space="preserve">enumerates issue introductions and shows how many are the structuring article in their community.</w:t>
      </w:r>
    </w:p>
    <w:p>
      <w:pPr>
        <w:pStyle w:val="CaptionedFigure"/>
      </w:pPr>
      <w:r>
        <w:drawing>
          <wp:inline>
            <wp:extent cx="5334000" cy="3429000"/>
            <wp:effectExtent b="0" l="0" r="0" t="0"/>
            <wp:docPr descr="Figure 43 Hill Isles, where the Wild Things Are" title="" id="1" name="Picture"/>
            <a:graphic>
              <a:graphicData uri="http://schemas.openxmlformats.org/drawingml/2006/picture">
                <pic:pic>
                  <pic:nvPicPr>
                    <pic:cNvPr descr="img/hill-isle.png" id="0" name="Picture"/>
                    <pic:cNvPicPr>
                      <a:picLocks noChangeArrowheads="1" noChangeAspect="1"/>
                    </pic:cNvPicPr>
                  </pic:nvPicPr>
                  <pic:blipFill>
                    <a:blip r:embed="rId16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43 Hill Isles, where the Wild Things Are</w:t>
      </w:r>
    </w:p>
    <w:p>
      <w:pPr>
        <w:pStyle w:val="BodyText"/>
      </w:pPr>
      <w:r>
        <w:t xml:space="preserve">Reviews, whether they are self described as such, borrow directly from the bibliographies of one or more seed articles, and in this way they contribute a disproportionate amount of the global structure of the co-reference network. This kind of review, rather than looking again at an existing intellectual trend, creates the cohesion it purports to describe. Flat isles, especially if they are large, are flat due to the retrospection of a usually solitary reviewer. Compare this to</w:t>
      </w:r>
      <w:r>
        <w:t xml:space="preserve"> </w:t>
      </w:r>
      <w:r>
        <w:t xml:space="preserve">“</w:t>
      </w:r>
      <w:r>
        <w:t xml:space="preserve">hill isles</w:t>
      </w:r>
      <w:r>
        <w:t xml:space="preserve">”</w:t>
      </w:r>
      <w:r>
        <w:t xml:space="preserve"> </w:t>
      </w:r>
      <w:r>
        <w:t xml:space="preserve">with more internal structure growing out of the related but uncoordinated reference activity of authors.</w:t>
      </w:r>
    </w:p>
    <w:p>
      <w:pPr>
        <w:pStyle w:val="CaptionedFigure"/>
      </w:pPr>
      <w:r>
        <w:drawing>
          <wp:inline>
            <wp:extent cx="5334000" cy="3429000"/>
            <wp:effectExtent b="0" l="0" r="0" t="0"/>
            <wp:docPr descr="Figure 44 Hill Isle in Graph Layout" title="" id="1" name="Picture"/>
            <a:graphic>
              <a:graphicData uri="http://schemas.openxmlformats.org/drawingml/2006/picture">
                <pic:pic>
                  <pic:nvPicPr>
                    <pic:cNvPr descr="ambrose_dissertation_files/figure-docx/k3c1-22-1.png" id="0" name="Picture"/>
                    <pic:cNvPicPr>
                      <a:picLocks noChangeArrowheads="1" noChangeAspect="1"/>
                    </pic:cNvPicPr>
                  </pic:nvPicPr>
                  <pic:blipFill>
                    <a:blip r:embed="rId170"/>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44 Hill Isle in Graph Layout</w:t>
      </w:r>
    </w:p>
    <w:p>
      <w:pPr>
        <w:pStyle w:val="Heading3"/>
      </w:pPr>
      <w:bookmarkStart w:id="171" w:name="peaks"/>
      <w:r>
        <w:t xml:space="preserve">Peaks</w:t>
      </w:r>
      <w:bookmarkEnd w:id="171"/>
    </w:p>
    <w:p>
      <w:pPr>
        <w:pStyle w:val="FirstParagraph"/>
      </w:pPr>
      <w:r>
        <w:t xml:space="preserve">The KCC model reveals</w:t>
      </w:r>
    </w:p>
    <w:p>
      <w:pPr>
        <w:pStyle w:val="Heading3"/>
      </w:pPr>
      <w:bookmarkStart w:id="172" w:name="valleys"/>
      <w:r>
        <w:t xml:space="preserve">Valleys</w:t>
      </w:r>
      <w:bookmarkEnd w:id="172"/>
    </w:p>
    <w:p>
      <w:pPr>
        <w:pStyle w:val="Heading3"/>
      </w:pPr>
      <w:bookmarkStart w:id="173" w:name="X21da6a0927de4cd993063a9db3281001f5ac2e7"/>
      <w:r>
        <w:t xml:space="preserve">Do reference lists describe author knowledge?</w:t>
      </w:r>
      <w:bookmarkEnd w:id="173"/>
    </w:p>
    <w:p>
      <w:pPr>
        <w:pStyle w:val="FirstParagraph"/>
      </w:pPr>
      <w:r>
        <w:t xml:space="preserve">The peer review process can now be thought of as a process of auditing credentials. An author makes an opening bid with the submission of a particular reference list. What this reference list implies about what the author knows is unclear. One may omit a knowledge signal because it is truthfully irrelevant or in a deceptive sin of omission oriented to what they expect to be the expectations of editors and reviewers. One may also include what they do not know out of error, braggadocio, carelessness, or fraud. Part of the work of reviewers will be to validate those claims to knowledge.</w:t>
      </w:r>
    </w:p>
    <w:p>
      <w:pPr>
        <w:pStyle w:val="CaptionedFigure"/>
      </w:pPr>
      <w:r>
        <w:drawing>
          <wp:inline>
            <wp:extent cx="4620126" cy="3696101"/>
            <wp:effectExtent b="0" l="0" r="0" t="0"/>
            <wp:docPr descr="Figure 45 K-clique Community Island Plot. Interactive pop-out." title="" id="1" name="Picture"/>
            <a:graphic>
              <a:graphicData uri="http://schemas.openxmlformats.org/drawingml/2006/picture">
                <pic:pic>
                  <pic:nvPicPr>
                    <pic:cNvPr descr="ambrose_dissertation_files/figure-docx/kcc2isl-1.png" id="0"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45 K-clique Community Island Plot.</w:t>
      </w:r>
      <w:r>
        <w:t xml:space="preserve"> </w:t>
      </w:r>
      <w:hyperlink r:id="rId175">
        <w:r>
          <w:rPr>
            <w:i/>
            <w:rStyle w:val="Hyperlink"/>
          </w:rPr>
          <w:t xml:space="preserve">Interactive pop-out.</w:t>
        </w:r>
      </w:hyperlink>
    </w:p>
    <w:bookmarkStart w:id="222" w:name="refs"/>
    <w:bookmarkStart w:id="176"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76"/>
    <w:bookmarkStart w:id="177"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77"/>
    <w:bookmarkStart w:id="178"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78"/>
    <w:bookmarkStart w:id="179"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79"/>
    <w:bookmarkStart w:id="180" w:name="ref-Blondel2008Fast"/>
    <w:p>
      <w:pPr>
        <w:pStyle w:val="Bibliography"/>
      </w:pPr>
      <w:r>
        <w:t xml:space="preserve">Blondel, Vincent D., Jean-Loup Guillaume, Renaud Lambiotte, and Etienne Lefebvre. 2008. “Fast Unfolding of Communities in Large Networks.”</w:t>
      </w:r>
    </w:p>
    <w:bookmarkEnd w:id="180"/>
    <w:bookmarkStart w:id="181"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81"/>
    <w:bookmarkStart w:id="182" w:name="ref-Bureau1975Historical"/>
    <w:p>
      <w:pPr>
        <w:pStyle w:val="Bibliography"/>
      </w:pPr>
      <w:r>
        <w:t xml:space="preserve">Bureau, US Census. 1975.</w:t>
      </w:r>
      <w:r>
        <w:t xml:space="preserve"> </w:t>
      </w:r>
      <w:r>
        <w:rPr>
          <w:i/>
        </w:rPr>
        <w:t xml:space="preserve">Historical Statistics of the United States, Colonial Times to 1970</w:t>
      </w:r>
      <w:r>
        <w:t xml:space="preserve">.</w:t>
      </w:r>
    </w:p>
    <w:bookmarkEnd w:id="182"/>
    <w:bookmarkStart w:id="183"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83"/>
    <w:bookmarkStart w:id="184" w:name="ref-Collins2007Rethinking"/>
    <w:p>
      <w:pPr>
        <w:pStyle w:val="Bibliography"/>
      </w:pPr>
      <w:r>
        <w:t xml:space="preserve">Collins, Harry and Robert Evans. 2007.</w:t>
      </w:r>
      <w:r>
        <w:t xml:space="preserve"> </w:t>
      </w:r>
      <w:r>
        <w:rPr>
          <w:i/>
        </w:rPr>
        <w:t xml:space="preserve">Rethinking Expertise</w:t>
      </w:r>
      <w:r>
        <w:t xml:space="preserve">. Chicago: University of Chicago Press.</w:t>
      </w:r>
    </w:p>
    <w:bookmarkEnd w:id="184"/>
    <w:bookmarkStart w:id="185"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85"/>
    <w:bookmarkStart w:id="186"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86"/>
    <w:bookmarkStart w:id="187" w:name="ref-Durkheim1893division"/>
    <w:p>
      <w:pPr>
        <w:pStyle w:val="Bibliography"/>
      </w:pPr>
      <w:r>
        <w:t xml:space="preserve">Durkheim, Émile. 1893.</w:t>
      </w:r>
      <w:r>
        <w:t xml:space="preserve"> </w:t>
      </w:r>
      <w:r>
        <w:rPr>
          <w:i/>
        </w:rPr>
        <w:t xml:space="preserve">The Division of Labour in Society</w:t>
      </w:r>
      <w:r>
        <w:t xml:space="preserve">. 2nd. ed. edited by S. Lukes. Basingstoke, Hampshire: Palgrave Macmillan UK.</w:t>
      </w:r>
    </w:p>
    <w:bookmarkEnd w:id="187"/>
    <w:bookmarkStart w:id="188"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 Wesleyan University Press ;</w:t>
      </w:r>
    </w:p>
    <w:bookmarkEnd w:id="188"/>
    <w:bookmarkStart w:id="189"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89"/>
    <w:bookmarkStart w:id="190"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90"/>
    <w:bookmarkStart w:id="191" w:name="ref-Foucault2002order"/>
    <w:p>
      <w:pPr>
        <w:pStyle w:val="Bibliography"/>
      </w:pPr>
      <w:r>
        <w:t xml:space="preserve">Foucault, Michel. 2002.</w:t>
      </w:r>
      <w:r>
        <w:t xml:space="preserve"> </w:t>
      </w:r>
      <w:r>
        <w:rPr>
          <w:i/>
        </w:rPr>
        <w:t xml:space="preserve">The Order of Things: An Archaeology of the Human Sciences</w:t>
      </w:r>
      <w:r>
        <w:t xml:space="preserve">. London: Routledge.</w:t>
      </w:r>
    </w:p>
    <w:bookmarkEnd w:id="191"/>
    <w:bookmarkStart w:id="192" w:name="ref-2012Google"/>
    <w:p>
      <w:pPr>
        <w:pStyle w:val="Bibliography"/>
      </w:pPr>
      <w:r>
        <w:t xml:space="preserve">Google. 2012. “Google Ngram Viewer.”</w:t>
      </w:r>
    </w:p>
    <w:bookmarkEnd w:id="192"/>
    <w:bookmarkStart w:id="193"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193"/>
    <w:bookmarkStart w:id="194" w:name="ref-James2019ecp"/>
    <w:p>
      <w:pPr>
        <w:pStyle w:val="Bibliography"/>
      </w:pPr>
      <w:r>
        <w:t xml:space="preserve">James, Nicholas A. and Wenyu Zhang and David S. Matteson. 2019. “Ecp: Non-Parametric Multiple Change-Point Analysis of Multivariate Data.”</w:t>
      </w:r>
    </w:p>
    <w:bookmarkEnd w:id="194"/>
    <w:bookmarkStart w:id="195" w:name="ref-JSTOR2018Title"/>
    <w:p>
      <w:pPr>
        <w:pStyle w:val="Bibliography"/>
      </w:pPr>
      <w:r>
        <w:t xml:space="preserve">JSTOR. 2018. “Title Lists.”</w:t>
      </w:r>
      <w:r>
        <w:t xml:space="preserve"> </w:t>
      </w:r>
      <w:r>
        <w:rPr>
          <w:i/>
        </w:rPr>
        <w:t xml:space="preserve">JSTOR Support Home</w:t>
      </w:r>
      <w:r>
        <w:t xml:space="preserve">.</w:t>
      </w:r>
    </w:p>
    <w:bookmarkEnd w:id="195"/>
    <w:bookmarkStart w:id="196"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196"/>
    <w:bookmarkStart w:id="197"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197"/>
    <w:bookmarkStart w:id="198"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198"/>
    <w:bookmarkStart w:id="199" w:name="ref-Lederberg2000How"/>
    <w:p>
      <w:pPr>
        <w:pStyle w:val="Bibliography"/>
      </w:pPr>
      <w:r>
        <w:t xml:space="preserve">Lederberg, Joshua. 2000. “How the Science Citation Index Got Started.” in</w:t>
      </w:r>
      <w:r>
        <w:t xml:space="preserve"> </w:t>
      </w:r>
      <w:r>
        <w:rPr>
          <w:i/>
        </w:rPr>
        <w:t xml:space="preserve">The Web of Knowledge: A Festschrift in Honor of Eugene Garfield</w:t>
      </w:r>
      <w:r>
        <w:t xml:space="preserve">, edited by B. Cronin and H. B. Atkins. Information Today, Inc.</w:t>
      </w:r>
    </w:p>
    <w:bookmarkEnd w:id="199"/>
    <w:bookmarkStart w:id="200"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200"/>
    <w:bookmarkStart w:id="201"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201"/>
    <w:bookmarkStart w:id="202"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202"/>
    <w:bookmarkStart w:id="203"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203"/>
    <w:bookmarkStart w:id="204" w:name="ref-Morville2009Ambient"/>
    <w:p>
      <w:pPr>
        <w:pStyle w:val="Bibliography"/>
      </w:pPr>
      <w:r>
        <w:t xml:space="preserve">Morville, Peter. 2009.</w:t>
      </w:r>
      <w:r>
        <w:t xml:space="preserve"> </w:t>
      </w:r>
      <w:r>
        <w:rPr>
          <w:i/>
        </w:rPr>
        <w:t xml:space="preserve">Ambient Findability</w:t>
      </w:r>
      <w:r>
        <w:t xml:space="preserve">. O’Reilly.</w:t>
      </w:r>
    </w:p>
    <w:bookmarkEnd w:id="204"/>
    <w:bookmarkStart w:id="205"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205"/>
    <w:bookmarkStart w:id="206"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206"/>
    <w:bookmarkStart w:id="207"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207"/>
    <w:bookmarkStart w:id="208"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208"/>
    <w:bookmarkStart w:id="209" w:name="ref-Pilkington2009evolution"/>
    <w:p>
      <w:pPr>
        <w:pStyle w:val="Bibliography"/>
      </w:pPr>
      <w:r>
        <w:t xml:space="preserve">Pilkington, Alan and Jack Meredith. 2009. “The Evolution of the Intellectual Structure of Operations Management—1980–2006: A Citation/Co-Citation Analysis.”</w:t>
      </w:r>
      <w:r>
        <w:t xml:space="preserve"> </w:t>
      </w:r>
      <w:r>
        <w:rPr>
          <w:i/>
        </w:rPr>
        <w:t xml:space="preserve">Journal of Operations Management</w:t>
      </w:r>
      <w:r>
        <w:t xml:space="preserve"> </w:t>
      </w:r>
      <w:r>
        <w:t xml:space="preserve">27(3):185–202.</w:t>
      </w:r>
    </w:p>
    <w:bookmarkEnd w:id="209"/>
    <w:bookmarkStart w:id="210"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210"/>
    <w:bookmarkStart w:id="211" w:name="ref-Roberts2018stm"/>
    <w:p>
      <w:pPr>
        <w:pStyle w:val="Bibliography"/>
      </w:pPr>
      <w:r>
        <w:t xml:space="preserve">Roberts, Margaret, Brandon Stewart, Dustin Tingley, and Kenneth Benoit. 2018. “Stm: Estimation of the Structural Topic Model.”</w:t>
      </w:r>
    </w:p>
    <w:bookmarkEnd w:id="211"/>
    <w:bookmarkStart w:id="212"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212"/>
    <w:bookmarkStart w:id="213" w:name="ref-Roberts2015pkg"/>
    <w:p>
      <w:pPr>
        <w:pStyle w:val="Bibliography"/>
      </w:pPr>
      <w:r>
        <w:t xml:space="preserve">Roberts, Nicola. 2015. “Hdp: R Pkg for Hierarchical Dirichlet Process.”</w:t>
      </w:r>
    </w:p>
    <w:bookmarkEnd w:id="213"/>
    <w:bookmarkStart w:id="214"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214"/>
    <w:bookmarkStart w:id="215" w:name="ref-Sewell1992Theory"/>
    <w:p>
      <w:pPr>
        <w:pStyle w:val="Bibliography"/>
      </w:pPr>
      <w:r>
        <w:t xml:space="preserve">Sewell, William H. 1992. “A Theory of Structure: Duality, Agency, and Transformation.”</w:t>
      </w:r>
      <w:r>
        <w:t xml:space="preserve"> </w:t>
      </w:r>
      <w:r>
        <w:rPr>
          <w:i/>
        </w:rPr>
        <w:t xml:space="preserve">American Journal of Sociology</w:t>
      </w:r>
      <w:r>
        <w:t xml:space="preserve"> </w:t>
      </w:r>
      <w:r>
        <w:t xml:space="preserve">98(1):1–29.</w:t>
      </w:r>
    </w:p>
    <w:bookmarkEnd w:id="215"/>
    <w:bookmarkStart w:id="216"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216"/>
    <w:bookmarkStart w:id="217" w:name="ref-Snyder1993120"/>
    <w:p>
      <w:pPr>
        <w:pStyle w:val="Bibliography"/>
      </w:pPr>
      <w:r>
        <w:t xml:space="preserve">Snyder, Thomas. 1993. “120 Years of American Education: A Statistical Portrait.”</w:t>
      </w:r>
      <w:r>
        <w:t xml:space="preserve"> </w:t>
      </w:r>
      <w:r>
        <w:rPr>
          <w:i/>
        </w:rPr>
        <w:t xml:space="preserve">120 Years of American Education: A Statistical Portrait</w:t>
      </w:r>
      <w:r>
        <w:t xml:space="preserve">.</w:t>
      </w:r>
    </w:p>
    <w:bookmarkEnd w:id="217"/>
    <w:bookmarkStart w:id="218"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218"/>
    <w:bookmarkStart w:id="219"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219"/>
    <w:bookmarkStart w:id="220" w:name="ref-Zucker1983Organizations"/>
    <w:p>
      <w:pPr>
        <w:pStyle w:val="Bibliography"/>
      </w:pPr>
      <w:r>
        <w:t xml:space="preserve">Zucker, Lynne G. 1983. “Organizations as Institutions” edited by S. B. Bacharach.</w:t>
      </w:r>
      <w:r>
        <w:t xml:space="preserve"> </w:t>
      </w:r>
      <w:r>
        <w:rPr>
          <w:i/>
        </w:rPr>
        <w:t xml:space="preserve">Research in the Sociology of Organizations: A Research Annual</w:t>
      </w:r>
      <w:r>
        <w:t xml:space="preserve"> </w:t>
      </w:r>
      <w:r>
        <w:t xml:space="preserve">1–47.</w:t>
      </w:r>
    </w:p>
    <w:bookmarkEnd w:id="220"/>
    <w:bookmarkStart w:id="221" w:name="ref-Zucker1986Production"/>
    <w:p>
      <w:pPr>
        <w:pStyle w:val="Bibliography"/>
      </w:pPr>
      <w:r>
        <w:t xml:space="preserve">Zucker, Lynne G. 1986. “Production of Trust: Institutional Sources of Economic Structure, 1840-1920.”</w:t>
      </w:r>
      <w:r>
        <w:t xml:space="preserve"> </w:t>
      </w:r>
      <w:r>
        <w:rPr>
          <w:i/>
        </w:rPr>
        <w:t xml:space="preserve">Research in Organizational Behavior</w:t>
      </w:r>
      <w:r>
        <w:t xml:space="preserve"> </w:t>
      </w:r>
      <w:r>
        <w:t xml:space="preserve">8:53–111.</w:t>
      </w:r>
    </w:p>
    <w:bookmarkEnd w:id="221"/>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1">
    <w:p>
      <w:pPr>
        <w:pStyle w:val="FootnoteText"/>
      </w:pPr>
      <w:r>
        <w:rPr>
          <w:rStyle w:val="FootnoteReference"/>
        </w:rPr>
        <w:footnoteRef/>
      </w:r>
      <w:r>
        <w:t xml:space="preserve"> </w:t>
      </w:r>
      <w:r>
        <w:t xml:space="preserve">TODO, I did not, but should take a random draw of the same size to serve as a control.</w:t>
      </w:r>
    </w:p>
  </w:footnote>
  <w:footnote w:id="63">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0">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1">
    <w:p>
      <w:pPr>
        <w:pStyle w:val="FootnoteText"/>
      </w:pPr>
      <w:r>
        <w:rPr>
          <w:rStyle w:val="FootnoteReference"/>
        </w:rPr>
        <w:footnoteRef/>
      </w:r>
      <w:r>
        <w:t xml:space="preserve"> </w:t>
      </w:r>
      <w:r>
        <w:t xml:space="preserve">www.jstor.org/stable/10.2307/27909026</w:t>
      </w:r>
    </w:p>
  </w:footnote>
  <w:footnote w:id="73">
    <w:p>
      <w:pPr>
        <w:pStyle w:val="FootnoteText"/>
      </w:pPr>
      <w:r>
        <w:rPr>
          <w:rStyle w:val="FootnoteReference"/>
        </w:rPr>
        <w:footnoteRef/>
      </w:r>
      <w:r>
        <w:t xml:space="preserve"> </w:t>
      </w:r>
      <w:r>
        <w:t xml:space="preserve">www.jstor.org/stable/10.2307/43795866</w:t>
      </w:r>
    </w:p>
  </w:footnote>
  <w:footnote w:id="82">
    <w:p>
      <w:pPr>
        <w:pStyle w:val="FootnoteText"/>
      </w:pPr>
      <w:r>
        <w:rPr>
          <w:rStyle w:val="FootnoteReference"/>
        </w:rPr>
        <w:footnoteRef/>
      </w:r>
      <w:r>
        <w:t xml:space="preserve"> </w:t>
      </w:r>
      <w:r>
        <w:t xml:space="preserve">www.jstor.org/stable/10.2307/j.ctt1bhkpdr.8</w:t>
      </w:r>
    </w:p>
  </w:footnote>
  <w:footnote w:id="98">
    <w:p>
      <w:pPr>
        <w:pStyle w:val="FootnoteText"/>
      </w:pPr>
      <w:r>
        <w:rPr>
          <w:rStyle w:val="FootnoteReference"/>
        </w:rPr>
        <w:footnoteRef/>
      </w:r>
      <w:r>
        <w:t xml:space="preserve"> </w:t>
      </w:r>
      <w:r>
        <w:t xml:space="preserve">TODO: Find a concentration measure that corrects for small sample bias to help cluster nodes in these four categories.</w:t>
      </w:r>
    </w:p>
  </w:footnote>
  <w:footnote w:id="113">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 w:id="142">
    <w:p>
      <w:pPr>
        <w:pStyle w:val="FootnoteText"/>
      </w:pPr>
      <w:r>
        <w:rPr>
          <w:rStyle w:val="FootnoteReference"/>
        </w:rPr>
        <w:footnoteRef/>
      </w:r>
      <w:r>
        <w:t xml:space="preserve"> </w:t>
      </w:r>
      <w:r>
        <w:t xml:space="preserve">“</w:t>
      </w:r>
      <w:r>
        <w:t xml:space="preserve">To master the whole meaning of the discovered truths and to understand all that is summarised in them, one must have looked closely at scientific life whilst it is still in a free state, that is, before it has been crystallised in the form of definite propositions.</w:t>
      </w:r>
      <w:r>
        <w:t xml:space="preserve">”</w:t>
      </w:r>
      <w:r>
        <w:t xml:space="preserve"> </w:t>
      </w:r>
      <w:r>
        <w:t xml:space="preserve">(Durkheim</w:t>
      </w:r>
      <w:r>
        <w:t xml:space="preserve"> </w:t>
      </w:r>
      <w:hyperlink w:anchor="ref-Durkheim1893division">
        <w:r>
          <w:rPr>
            <w:rStyle w:val="Hyperlink"/>
          </w:rPr>
          <w:t xml:space="preserve">1893</w:t>
        </w:r>
      </w:hyperlink>
      <w:r>
        <w:t xml:space="preserve">:\299)</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24" Target="media/rId124.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122" Target="media/rId122.png" /><Relationship Type="http://schemas.openxmlformats.org/officeDocument/2006/relationships/image" Id="rId72" Target="media/rId72.png" /><Relationship Type="http://schemas.openxmlformats.org/officeDocument/2006/relationships/image" Id="rId137" Target="media/rId137.png" /><Relationship Type="http://schemas.openxmlformats.org/officeDocument/2006/relationships/image" Id="rId48" Target="media/rId48.png" /><Relationship Type="http://schemas.openxmlformats.org/officeDocument/2006/relationships/image" Id="rId145" Target="media/rId145.png" /><Relationship Type="http://schemas.openxmlformats.org/officeDocument/2006/relationships/image" Id="rId104" Target="media/rId104.png" /><Relationship Type="http://schemas.openxmlformats.org/officeDocument/2006/relationships/image" Id="rId138" Target="media/rId138.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00" Target="media/rId10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96" Target="media/rId96.png" /><Relationship Type="http://schemas.openxmlformats.org/officeDocument/2006/relationships/image" Id="rId151" Target="media/rId151.png" /><Relationship Type="http://schemas.openxmlformats.org/officeDocument/2006/relationships/image" Id="rId45" Target="media/rId45.png" /><Relationship Type="http://schemas.openxmlformats.org/officeDocument/2006/relationships/image" Id="rId140" Target="media/rId140.png" /><Relationship Type="http://schemas.openxmlformats.org/officeDocument/2006/relationships/image" Id="rId139" Target="media/rId139.png" /><Relationship Type="http://schemas.openxmlformats.org/officeDocument/2006/relationships/image" Id="rId135" Target="media/rId135.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25" Target="media/rId125.png" /><Relationship Type="http://schemas.openxmlformats.org/officeDocument/2006/relationships/image" Id="rId94" Target="media/rId9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129" Target="media/rId129.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134" Target="media/rId134.png" /><Relationship Type="http://schemas.openxmlformats.org/officeDocument/2006/relationships/image" Id="rId166" Target="media/rId166.png" /><Relationship Type="http://schemas.openxmlformats.org/officeDocument/2006/relationships/image" Id="rId41" Target="media/rId41.png" /><Relationship Type="http://schemas.openxmlformats.org/officeDocument/2006/relationships/image" Id="rId66" Target="media/rId66.png" /><Relationship Type="http://schemas.openxmlformats.org/officeDocument/2006/relationships/image" Id="rId108" Target="media/rId108.png" /><Relationship Type="http://schemas.openxmlformats.org/officeDocument/2006/relationships/image" Id="rId58" Target="media/rId58.png" /><Relationship Type="http://schemas.openxmlformats.org/officeDocument/2006/relationships/image" Id="rId75" Target="media/rId75.png" /><Relationship Type="http://schemas.openxmlformats.org/officeDocument/2006/relationships/image" Id="rId99" Target="media/rId99.png" /><Relationship Type="http://schemas.openxmlformats.org/officeDocument/2006/relationships/image" Id="rId169" Target="media/rId169.png" /><Relationship Type="http://schemas.openxmlformats.org/officeDocument/2006/relationships/image" Id="rId85" Target="media/rId85.png" /><Relationship Type="http://schemas.openxmlformats.org/officeDocument/2006/relationships/image" Id="rId163" Target="media/rId163.png" /><Relationship Type="http://schemas.openxmlformats.org/officeDocument/2006/relationships/image" Id="rId49" Target="media/rId49.png" /><Relationship Type="http://schemas.openxmlformats.org/officeDocument/2006/relationships/image" Id="rId154" Target="media/rId154.png" /><Relationship Type="http://schemas.openxmlformats.org/officeDocument/2006/relationships/image" Id="rId22" Target="media/rId22.gif" /><Relationship Type="http://schemas.openxmlformats.org/officeDocument/2006/relationships/hyperlink" Id="rId175" Target="exh/isl3d.html" TargetMode="External" /><Relationship Type="http://schemas.openxmlformats.org/officeDocument/2006/relationships/hyperlink" Id="rId164" Target="exh/kcc2tree.html" TargetMode="External" /><Relationship Type="http://schemas.openxmlformats.org/officeDocument/2006/relationships/hyperlink" Id="rId153" Target="exh/viz/index.html" TargetMode="External" /><Relationship Type="http://schemas.openxmlformats.org/officeDocument/2006/relationships/hyperlink" Id="rId21" Target="https://brooksambrose.github.io/portfolio" TargetMode="External" /><Relationship Type="http://schemas.openxmlformats.org/officeDocument/2006/relationships/hyperlink" Id="rId167" Target="https://www.jstor.org/stable/i40084238" TargetMode="External" /><Relationship Type="http://schemas.openxmlformats.org/officeDocument/2006/relationships/hyperlink" Id="rId168" Target="https://www.jstor.org/stable/i40084262" TargetMode="External" /><Relationship Type="http://schemas.openxmlformats.org/officeDocument/2006/relationships/hyperlink" Id="rId107" Target="ldaviz/viz/index.html" TargetMode="External" /><Relationship Type="http://schemas.openxmlformats.org/officeDocument/2006/relationships/hyperlink" Id="rId128" Target="www.jstor.org/stable/10.2307/24384502" TargetMode="External" /><Relationship Type="http://schemas.openxmlformats.org/officeDocument/2006/relationships/hyperlink" Id="rId127" Target="www.jstor.org/stable/10.2307/836786" TargetMode="External" /></Relationships>
</file>

<file path=word/_rels/footnotes.xml.rels><?xml version="1.0" encoding="UTF-8"?>
<Relationships xmlns="http://schemas.openxmlformats.org/package/2006/relationships"><Relationship Type="http://schemas.openxmlformats.org/officeDocument/2006/relationships/hyperlink" Id="rId175" Target="exh/isl3d.html" TargetMode="External" /><Relationship Type="http://schemas.openxmlformats.org/officeDocument/2006/relationships/hyperlink" Id="rId164" Target="exh/kcc2tree.html" TargetMode="External" /><Relationship Type="http://schemas.openxmlformats.org/officeDocument/2006/relationships/hyperlink" Id="rId153" Target="exh/viz/index.html" TargetMode="External" /><Relationship Type="http://schemas.openxmlformats.org/officeDocument/2006/relationships/hyperlink" Id="rId21" Target="https://brooksambrose.github.io/portfolio" TargetMode="External" /><Relationship Type="http://schemas.openxmlformats.org/officeDocument/2006/relationships/hyperlink" Id="rId167" Target="https://www.jstor.org/stable/i40084238" TargetMode="External" /><Relationship Type="http://schemas.openxmlformats.org/officeDocument/2006/relationships/hyperlink" Id="rId168" Target="https://www.jstor.org/stable/i40084262" TargetMode="External" /><Relationship Type="http://schemas.openxmlformats.org/officeDocument/2006/relationships/hyperlink" Id="rId107" Target="ldaviz/viz/index.html" TargetMode="External" /><Relationship Type="http://schemas.openxmlformats.org/officeDocument/2006/relationships/hyperlink" Id="rId128" Target="www.jstor.org/stable/10.2307/24384502" TargetMode="External" /><Relationship Type="http://schemas.openxmlformats.org/officeDocument/2006/relationships/hyperlink" Id="rId127" Target="www.jstor.org/stable/10.2307/8367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2019-09-02T15:18:16Z</dcterms:created>
  <dcterms:modified xsi:type="dcterms:W3CDTF">2019-09-02T15:18:16Z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csl">
    <vt:lpwstr>asa.csl</vt:lpwstr>
  </property>
  <property fmtid="{D5CDD505-2E9C-101B-9397-08002B2CF9AE}" pid="5" name="css">
    <vt:lpwstr>style.css</vt:lpwstr>
  </property>
  <property fmtid="{D5CDD505-2E9C-101B-9397-08002B2CF9AE}" pid="6" name="date">
    <vt:lpwstr>2019-09-02</vt:lpwstr>
  </property>
  <property fmtid="{D5CDD505-2E9C-101B-9397-08002B2CF9AE}" pid="7" name="documentclass">
    <vt:lpwstr>book</vt:lpwstr>
  </property>
  <property fmtid="{D5CDD505-2E9C-101B-9397-08002B2CF9AE}" pid="8" name="header-includes">
    <vt:lpwstr/>
  </property>
  <property fmtid="{D5CDD505-2E9C-101B-9397-08002B2CF9AE}" pid="9" name="indent">
    <vt:lpwstr>yes</vt:lpwstr>
  </property>
  <property fmtid="{D5CDD505-2E9C-101B-9397-08002B2CF9AE}" pid="10" name="linestretch">
    <vt:lpwstr>2</vt:lpwstr>
  </property>
  <property fmtid="{D5CDD505-2E9C-101B-9397-08002B2CF9AE}" pid="11" name="link-citations">
    <vt:lpwstr>yes</vt:lpwstr>
  </property>
  <property fmtid="{D5CDD505-2E9C-101B-9397-08002B2CF9AE}" pid="12" name="lof">
    <vt:lpwstr>yes</vt:lpwstr>
  </property>
  <property fmtid="{D5CDD505-2E9C-101B-9397-08002B2CF9AE}" pid="13" name="lot">
    <vt:lpwstr>yes</vt:lpwstr>
  </property>
  <property fmtid="{D5CDD505-2E9C-101B-9397-08002B2CF9AE}" pid="14" name="mainfont">
    <vt:lpwstr>FreeSerif</vt:lpwstr>
  </property>
  <property fmtid="{D5CDD505-2E9C-101B-9397-08002B2CF9AE}" pid="15" name="site">
    <vt:lpwstr>bookdown::bookdown_site</vt:lpwstr>
  </property>
</Properties>
</file>