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5.png" ContentType="image/png"/>
  <Override PartName="/word/media/rId66.png" ContentType="image/png"/>
  <Override PartName="/word/media/rId95.png" ContentType="image/png"/>
  <Override PartName="/word/media/rId86.png" ContentType="image/png"/>
  <Override PartName="/word/media/rId79.png" ContentType="image/png"/>
  <Override PartName="/word/media/rId67.png" ContentType="image/png"/>
  <Override PartName="/word/media/rId110.png" ContentType="image/png"/>
  <Override PartName="/word/media/rId63.png" ContentType="image/png"/>
  <Override PartName="/word/media/rId97.png" ContentType="image/png"/>
  <Override PartName="/word/media/rId96.png" ContentType="image/png"/>
  <Override PartName="/word/media/rId109.png" ContentType="image/png"/>
  <Override PartName="/word/media/rId50.png" ContentType="image/png"/>
  <Override PartName="/word/media/rId82.png" ContentType="image/png"/>
  <Override PartName="/word/media/rId85.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within art, music, literature,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differently between and within disciplines.</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5" w:name="disciplines"/>
      <w:r>
        <w:t xml:space="preserve">Disciplines</w:t>
      </w:r>
      <w:bookmarkEnd w:id="35"/>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6" w:name="method"/>
      <w:r>
        <w:t xml:space="preserve">Method</w:t>
      </w:r>
      <w:bookmarkEnd w:id="36"/>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subersive of even more arbitrary club rules, namely those of educational pedigree, such that anyone willing to invest in a presentation of the genre definition will be granted access to the venues, if not the invisible colleges, of the subfield. To be admitted to the arena is no gaurantee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37" w:name="distant-sampling"/>
      <w:r>
        <w:t xml:space="preserve">Distant sampling</w:t>
      </w:r>
      <w:bookmarkEnd w:id="37"/>
    </w:p>
    <w:p>
      <w:pPr>
        <w:pStyle w:val="FirstParagraph"/>
      </w:pPr>
      <w:r>
        <w:t xml:space="preserve">The research strategy here attempts to parry the entropic tendency of the archive by substituting human for machine limits. The time honored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38"/>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39" w:name="arms-length-reading"/>
      <w:r>
        <w:t xml:space="preserve">Arms-length reading</w:t>
      </w:r>
      <w:bookmarkEnd w:id="39"/>
    </w:p>
    <w:p>
      <w:pPr>
        <w:pStyle w:val="FirstParagraph"/>
      </w:pPr>
      <w:r>
        <w:t xml:space="preserve">The radical (and often maligned) distant reading approach taken by digital humanists is being taken up with gusto by social scientists who are less skeptical of quantitative methods.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0"/>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If on the contrary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1" w:name="topic-models"/>
      <w:r>
        <w:t xml:space="preserve">Topic Models</w:t>
      </w:r>
      <w:bookmarkEnd w:id="41"/>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s</w:t>
      </w:r>
    </w:p>
    <w:p>
      <w:pPr>
        <w:pStyle w:val="BodyText"/>
      </w:pPr>
      <w:r>
        <w:t xml:space="preserve">(DiMaggio, Nag, and Blei</w:t>
      </w:r>
      <w:r>
        <w:t xml:space="preserve"> </w:t>
      </w:r>
      <w:hyperlink w:anchor="ref-DiMaggio2013Exploiting">
        <w:r>
          <w:rPr>
            <w:rStyle w:val="Hyperlink"/>
          </w:rPr>
          <w:t xml:space="preserve">2013</w:t>
        </w:r>
      </w:hyperlink>
      <w:r>
        <w:t xml:space="preserve">)</w:t>
      </w:r>
    </w:p>
    <w:p>
      <w:pPr>
        <w:pStyle w:val="Heading2"/>
      </w:pPr>
      <w:bookmarkStart w:id="42" w:name="data"/>
      <w:r>
        <w:t xml:space="preserve">Data</w:t>
      </w:r>
      <w:bookmarkEnd w:id="42"/>
    </w:p>
    <w:p>
      <w:pPr>
        <w:pStyle w:val="FirstParagraph"/>
      </w:pPr>
      <w:r>
        <w:t xml:space="preserve">We will use the JSTOR Data for Research service to download a bag-of-words text corpus for topic modeling. I take the following steps to develop a corpus:</w:t>
      </w:r>
    </w:p>
    <w:p>
      <w:pPr>
        <w:pStyle w:val="Compact"/>
        <w:numPr>
          <w:numId w:val="1003"/>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3"/>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3"/>
          <w:ilvl w:val="0"/>
        </w:numPr>
      </w:pPr>
      <w:r>
        <w:t xml:space="preserve">Remove ngrams appearing fewer than three times, which often includes optical character recognition errors.</w:t>
      </w:r>
    </w:p>
    <w:p>
      <w:pPr>
        <w:pStyle w:val="Compact"/>
        <w:numPr>
          <w:numId w:val="1003"/>
          <w:ilvl w:val="0"/>
        </w:numPr>
      </w:pPr>
      <w:r>
        <w:t xml:space="preserve">Remove ngrams shorter than three characters and longer than 25 characters, again often OCR errors but also stopwords that will be removed anyway.</w:t>
      </w:r>
      <w:r>
        <w:rPr>
          <w:rStyle w:val="FootnoteReference"/>
        </w:rPr>
        <w:footnoteReference w:id="43"/>
      </w:r>
    </w:p>
    <w:p>
      <w:pPr>
        <w:pStyle w:val="Compact"/>
        <w:numPr>
          <w:numId w:val="1003"/>
          <w:ilvl w:val="0"/>
        </w:numPr>
      </w:pPr>
      <w:r>
        <w:t xml:space="preserve">Remove ngrams longer than three characters that are all the same letter, often OCR errors but sometimes real, as in Roman numerals.</w:t>
      </w:r>
    </w:p>
    <w:p>
      <w:pPr>
        <w:pStyle w:val="Compact"/>
        <w:numPr>
          <w:numId w:val="1003"/>
          <w:ilvl w:val="0"/>
        </w:numPr>
      </w:pPr>
      <w:r>
        <w:t xml:space="preserve">Compile baseline word counts for each document assuming that at this step the documents contain only valid terms, and no OCR errors.</w:t>
      </w:r>
    </w:p>
    <w:p>
      <w:pPr>
        <w:pStyle w:val="Compact"/>
        <w:numPr>
          <w:numId w:val="1003"/>
          <w:ilvl w:val="0"/>
        </w:numPr>
      </w:pPr>
      <w:r>
        <w:t xml:space="preserve">Remove SMART stopwords.</w:t>
      </w:r>
    </w:p>
    <w:p>
      <w:pPr>
        <w:pStyle w:val="Compact"/>
        <w:numPr>
          <w:numId w:val="1003"/>
          <w:ilvl w:val="0"/>
        </w:numPr>
      </w:pPr>
      <w:r>
        <w:t xml:space="preserve">Remove numbers.</w:t>
      </w:r>
    </w:p>
    <w:p>
      <w:pPr>
        <w:pStyle w:val="Compact"/>
        <w:numPr>
          <w:numId w:val="1003"/>
          <w:ilvl w:val="0"/>
        </w:numPr>
      </w:pPr>
      <w:r>
        <w:t xml:space="preserve">Remove punctuation, except intraword hyphens.</w:t>
      </w:r>
    </w:p>
    <w:p>
      <w:pPr>
        <w:pStyle w:val="Compact"/>
        <w:numPr>
          <w:numId w:val="1003"/>
          <w:ilvl w:val="0"/>
        </w:numPr>
      </w:pPr>
      <w:r>
        <w:t xml:space="preserve">Lemmatize or stem English words.</w:t>
      </w:r>
    </w:p>
    <w:p>
      <w:pPr>
        <w:pStyle w:val="Compact"/>
        <w:numPr>
          <w:numId w:val="1003"/>
          <w:ilvl w:val="0"/>
        </w:numPr>
      </w:pPr>
      <w:r>
        <w:t xml:space="preserve">Remove lemma with fewer than three characters.</w:t>
      </w:r>
    </w:p>
    <w:p>
      <w:pPr>
        <w:pStyle w:val="Compact"/>
        <w:numPr>
          <w:numId w:val="1003"/>
          <w:ilvl w:val="0"/>
        </w:numPr>
      </w:pPr>
      <w:r>
        <w:t xml:space="preserve">Aggregate 1grams defined by a single lemma and, for ease of interpretation, name the sum after the most common 1gram.</w:t>
      </w:r>
    </w:p>
    <w:p>
      <w:pPr>
        <w:pStyle w:val="Compact"/>
        <w:numPr>
          <w:numId w:val="1003"/>
          <w:ilvl w:val="0"/>
        </w:numPr>
      </w:pPr>
      <w:r>
        <w:t xml:space="preserve">Remove terms appearing in fewer than 20 documents.</w:t>
      </w:r>
    </w:p>
    <w:p>
      <w:pPr>
        <w:pStyle w:val="Compact"/>
        <w:numPr>
          <w:numId w:val="1003"/>
          <w:ilvl w:val="0"/>
        </w:numPr>
      </w:pPr>
      <w:r>
        <w:t xml:space="preserve">Remove documents that, after the above filters, have a word count of fewer than 500 words.</w:t>
      </w:r>
    </w:p>
    <w:p>
      <w:pPr>
        <w:pStyle w:val="FirstParagraph"/>
      </w:pPr>
      <w:r>
        <w:t xml:space="preserve">The initial query returned 7,695 articles from 1,205 different journals, as well as 6,485 book chapters from 4,427 books. After the above processing steps, the sample was reduced to 3,545 articles and 2,799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idiosyncracy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2</w:t>
      </w:r>
      <w:r>
        <w:t xml:space="preserve"> </w:t>
      </w:r>
      <w:r>
        <w:t xml:space="preserve">shows the right-skewed distribution of idiosyncracy. The median text lost about one tenth (10.16 percent) of its words, while 90 percent of texts are within two tenths, and outliers begin at about three tenths as can be seen in the boxplot. The 150 (2.36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44"/>
      </w:r>
      <w:r>
        <w:t xml:space="preserve"> </w:t>
      </w:r>
      <w:r>
        <w:t xml:space="preserve">The article, from the journal</w:t>
      </w:r>
      <w:r>
        <w:t xml:space="preserve"> </w:t>
      </w:r>
      <w:r>
        <w:rPr>
          <w:i/>
        </w:rPr>
        <w:t xml:space="preserve">Hebrew Studies</w:t>
      </w:r>
      <w:r>
        <w:t xml:space="preserve">, is a single page introduction in English to 12 page essay reprinted in the original Hebrew. By page count alone we would expect the idiosycrasy to be 12/13 or 92.3 percent, which also illustrates how terms that are not in the Roman alphabet may be discarded as OCR errors even prior to the idiosyncracy measurement.</w:t>
      </w:r>
    </w:p>
    <w:p>
      <w:pPr>
        <w:pStyle w:val="CaptionedFigure"/>
      </w:pPr>
      <w:r>
        <w:drawing>
          <wp:inline>
            <wp:extent cx="4620126" cy="3696101"/>
            <wp:effectExtent b="0" l="0" r="0" t="0"/>
            <wp:docPr descr="Figure 2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Distribution of idiosyncracy, the proportion of document vocabularly dropped during pre-processing. Pluses indicate outliers.</w:t>
      </w:r>
    </w:p>
    <w:p>
      <w:pPr>
        <w:pStyle w:val="BodyText"/>
      </w:pPr>
      <w:r>
        <w:t xml:space="preserve">Figure</w:t>
      </w:r>
      <w:r>
        <w:t xml:space="preserve"> </w:t>
      </w:r>
      <w:r>
        <w:t xml:space="preserve">3</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 percentile the rate is 27 in 1,000. 46 texts (0.73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46"/>
      </w:r>
      <w:r>
        <w:t xml:space="preserve"> </w:t>
      </w:r>
      <w:r>
        <w:t xml:space="preserve">is a single page introduction in a special issue of</w:t>
      </w:r>
      <w:r>
        <w:t xml:space="preserve"> </w:t>
      </w:r>
      <w:r>
        <w:rPr>
          <w:rStyle w:val="VerbatimChar"/>
          <w:i/>
        </w:rPr>
        <w:t xml:space="preserve">stm$meta[which.max(gp),sotit]</w:t>
      </w:r>
      <w:r>
        <w:t xml:space="preserve"> </w:t>
      </w:r>
      <w:r>
        <w:t xml:space="preserve">on genres.</w:t>
      </w:r>
    </w:p>
    <w:p>
      <w:pPr>
        <w:pStyle w:val="CaptionedFigure"/>
      </w:pPr>
      <w:r>
        <w:drawing>
          <wp:inline>
            <wp:extent cx="4620126" cy="3696101"/>
            <wp:effectExtent b="0" l="0" r="0" t="0"/>
            <wp:docPr descr="Figure 3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Heading2"/>
      </w:pPr>
      <w:bookmarkStart w:id="48" w:name="sankey"/>
      <w:r>
        <w:t xml:space="preserve">sankey</w:t>
      </w:r>
      <w:bookmarkEnd w:id="48"/>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49" w:name="top-x-doc"/>
      <w:r>
        <w:t xml:space="preserve">top x doc</w:t>
      </w:r>
      <w:bookmarkEnd w:id="49"/>
    </w:p>
    <w:p>
      <w:pPr>
        <w:pStyle w:val="CaptionedFigure"/>
      </w:pPr>
      <w:r>
        <w:drawing>
          <wp:inline>
            <wp:extent cx="5334000" cy="4267200"/>
            <wp:effectExtent b="0" l="0" r="0" t="0"/>
            <wp:docPr descr="Figure 4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Sankey diagram of document overlap between topic models of increasing values of K.</w:t>
      </w:r>
    </w:p>
    <w:p>
      <w:pPr>
        <w:pStyle w:val="Heading1"/>
      </w:pPr>
      <w:bookmarkStart w:id="51" w:name="gen"/>
      <w:r>
        <w:t xml:space="preserve">Social Science Genres Today</w:t>
      </w:r>
      <w:bookmarkEnd w:id="51"/>
    </w:p>
    <w:p>
      <w:pPr>
        <w:pStyle w:val="Heading4"/>
      </w:pPr>
      <w:bookmarkStart w:id="52" w:name="abstract-1"/>
      <w:r>
        <w:t xml:space="preserve">Abstract</w:t>
      </w:r>
      <w:bookmarkEnd w:id="52"/>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53" w:name="keywords-1"/>
      <w:r>
        <w:t xml:space="preserve">Keywords</w:t>
      </w:r>
      <w:bookmarkEnd w:id="53"/>
    </w:p>
    <w:p>
      <w:pPr>
        <w:pStyle w:val="FirstParagraph"/>
      </w:pPr>
      <w:r>
        <w:t xml:space="preserve">genre, social science, knowledge mapping, labeling, cognition</w:t>
      </w:r>
    </w:p>
    <w:p>
      <w:pPr>
        <w:pStyle w:val="Heading2"/>
      </w:pPr>
      <w:bookmarkStart w:id="54" w:name="introduction"/>
      <w:r>
        <w:t xml:space="preserve">Introduction</w:t>
      </w:r>
      <w:bookmarkEnd w:id="54"/>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55" w:name="taste"/>
      <w:r>
        <w:t xml:space="preserve">Taste</w:t>
      </w:r>
      <w:bookmarkEnd w:id="55"/>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r>
        <w:rPr>
          <w:b/>
        </w:rPr>
        <w:t xml:space="preserve">???</w:t>
      </w:r>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56" w:name="structuralist"/>
      <w:r>
        <w:t xml:space="preserve">Structuralist</w:t>
      </w:r>
      <w:bookmarkEnd w:id="56"/>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57" w:name="culture"/>
      <w:r>
        <w:t xml:space="preserve">Culture</w:t>
      </w:r>
      <w:bookmarkEnd w:id="57"/>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58" w:name="Xe6e2354489a4d0f8ece1c96b929cc740021d175"/>
      <w:r>
        <w:t xml:space="preserve">Genre, Profession, and Cultural Morphodynamics</w:t>
      </w:r>
      <w:bookmarkEnd w:id="58"/>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59" w:name="generic-vs-typical"/>
      <w:r>
        <w:t xml:space="preserve">Generic vs Typical</w:t>
      </w:r>
      <w:bookmarkEnd w:id="59"/>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60" w:name="kd-dq1"/>
      <w:r>
        <w:t xml:space="preserve">JSTOR Journals</w:t>
      </w:r>
      <w:bookmarkEnd w:id="60"/>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61"/>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62" w:name="network-mode-projection"/>
      <w:r>
        <w:t xml:space="preserve">Network Mode Projection</w:t>
      </w:r>
      <w:bookmarkEnd w:id="62"/>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5</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5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5</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six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64" w:name="network-community-detection"/>
      <w:r>
        <w:t xml:space="preserve">Network Community Detection</w:t>
      </w:r>
      <w:bookmarkEnd w:id="64"/>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65" w:name="network-visualization"/>
      <w:r>
        <w:t xml:space="preserve">Network Visualization</w:t>
      </w:r>
      <w:bookmarkEnd w:id="65"/>
    </w:p>
    <w:p>
      <w:pPr>
        <w:pStyle w:val="FirstParagraph"/>
      </w:pPr>
      <w:r>
        <w:t xml:space="preserve">Figure</w:t>
      </w:r>
      <w:r>
        <w:t xml:space="preserve"> </w:t>
      </w:r>
      <w:r>
        <w:t xml:space="preserve">6</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6</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6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7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68" w:name="cit"/>
      <w:r>
        <w:t xml:space="preserve">The Social Science Citation Landscape, 1900-1940</w:t>
      </w:r>
      <w:bookmarkEnd w:id="68"/>
    </w:p>
    <w:p>
      <w:pPr>
        <w:pStyle w:val="Heading4"/>
      </w:pPr>
      <w:bookmarkStart w:id="69" w:name="abstract-2"/>
      <w:r>
        <w:t xml:space="preserve">Abstract</w:t>
      </w:r>
      <w:bookmarkEnd w:id="69"/>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70" w:name="keywords-2"/>
      <w:r>
        <w:t xml:space="preserve">Keywords</w:t>
      </w:r>
      <w:bookmarkEnd w:id="70"/>
    </w:p>
    <w:p>
      <w:pPr>
        <w:pStyle w:val="FirstParagraph"/>
      </w:pPr>
      <w:r>
        <w:t xml:space="preserve">citations, k-clique communities, community detection, landscape</w:t>
      </w:r>
    </w:p>
    <w:p>
      <w:pPr>
        <w:pStyle w:val="Heading2"/>
      </w:pPr>
      <w:bookmarkStart w:id="71" w:name="introduction-1"/>
      <w:r>
        <w:t xml:space="preserve">Introduction</w:t>
      </w:r>
      <w:bookmarkEnd w:id="71"/>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72" w:name="Xf61af20cabc0021a16601ae4546e6d08ea8b12d"/>
      <w:r>
        <w:t xml:space="preserve">Scholarly Communication vs Knowledge Terrain</w:t>
      </w:r>
      <w:bookmarkEnd w:id="72"/>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73" w:name="wok"/>
      <w:r>
        <w:t xml:space="preserve">Mapping Knowledge Terrain</w:t>
      </w:r>
      <w:bookmarkEnd w:id="73"/>
    </w:p>
    <w:p>
      <w:pPr>
        <w:pStyle w:val="Heading4"/>
      </w:pPr>
      <w:bookmarkStart w:id="74" w:name="knowledge-stuff"/>
      <w:r>
        <w:t xml:space="preserve">knowledge stuff</w:t>
      </w:r>
      <w:bookmarkEnd w:id="74"/>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75" w:name="X149e5b3b957ca88293814dc48bcf2d2e8d36b2a"/>
      <w:r>
        <w:t xml:space="preserve">Disciplines as a Large World Co-reference Network</w:t>
      </w:r>
      <w:bookmarkEnd w:id="75"/>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76" w:name="methods"/>
      <w:r>
        <w:t xml:space="preserve">Methods</w:t>
      </w:r>
      <w:bookmarkEnd w:id="76"/>
    </w:p>
    <w:p>
      <w:pPr>
        <w:pStyle w:val="Heading2"/>
      </w:pPr>
      <w:bookmarkStart w:id="77" w:name="data-1"/>
      <w:r>
        <w:t xml:space="preserve">Data</w:t>
      </w:r>
      <w:bookmarkEnd w:id="77"/>
    </w:p>
    <w:p>
      <w:pPr>
        <w:pStyle w:val="Heading2"/>
      </w:pPr>
      <w:bookmarkStart w:id="78" w:name="results"/>
      <w:r>
        <w:t xml:space="preserve">Results</w:t>
      </w:r>
      <w:bookmarkEnd w:id="78"/>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8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K-clique Community Structure (</w:t>
      </w:r>
      <w:hyperlink r:id="rId80">
        <w:r>
          <w:rPr>
            <w:rStyle w:val="Hyperlink"/>
          </w:rPr>
          <w:t xml:space="preserve">popout</w:t>
        </w:r>
      </w:hyperlink>
      <w:r>
        <w:t xml:space="preserve">)</w:t>
      </w:r>
    </w:p>
    <w:p>
      <w:pPr>
        <w:pStyle w:val="BodyText"/>
      </w:pPr>
      <w:r>
        <w:t xml:space="preserve">Figure</w:t>
      </w:r>
      <w:r>
        <w:t xml:space="preserve"> </w:t>
      </w:r>
      <w:r>
        <w:t xml:space="preserve">8</w:t>
      </w:r>
      <w:r>
        <w:t xml:space="preserve"> </w:t>
      </w:r>
      <w:r>
        <w:t xml:space="preserve">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81" w:name="continents"/>
      <w:r>
        <w:t xml:space="preserve">Continents</w:t>
      </w:r>
      <w:bookmarkEnd w:id="81"/>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9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82"/>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9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9</w:t>
      </w:r>
      <w:r>
        <w:t xml:space="preserve">, comes from four authors publishing in the same 1930</w:t>
      </w:r>
      <w:r>
        <w:t xml:space="preserve"> </w:t>
      </w:r>
      <w:hyperlink r:id="rId83">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84">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w:t>
      </w:r>
      <w:r>
        <w:t xml:space="preserve"> </w:t>
      </w:r>
      <w:r>
        <w:t xml:space="preserve">enumerates issue introductions and shows how many are the structuring article in their community.</w:t>
      </w:r>
    </w:p>
    <w:p>
      <w:pPr>
        <w:pStyle w:val="CaptionedFigure"/>
      </w:pPr>
      <w:r>
        <w:drawing>
          <wp:inline>
            <wp:extent cx="5334000" cy="3429000"/>
            <wp:effectExtent b="0" l="0" r="0" t="0"/>
            <wp:docPr descr="Figure 10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8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10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11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Hill Isle in Graph Layout</w:t>
      </w:r>
    </w:p>
    <w:p>
      <w:pPr>
        <w:pStyle w:val="Heading3"/>
      </w:pPr>
      <w:bookmarkStart w:id="87" w:name="peaks"/>
      <w:r>
        <w:t xml:space="preserve">Peaks</w:t>
      </w:r>
      <w:bookmarkEnd w:id="87"/>
    </w:p>
    <w:p>
      <w:pPr>
        <w:pStyle w:val="FirstParagraph"/>
      </w:pPr>
      <w:r>
        <w:t xml:space="preserve">The KCC model reveals</w:t>
      </w:r>
    </w:p>
    <w:p>
      <w:pPr>
        <w:pStyle w:val="Heading3"/>
      </w:pPr>
      <w:bookmarkStart w:id="88" w:name="valleys"/>
      <w:r>
        <w:t xml:space="preserve">Valleys</w:t>
      </w:r>
      <w:bookmarkEnd w:id="88"/>
    </w:p>
    <w:p>
      <w:pPr>
        <w:pStyle w:val="Heading3"/>
      </w:pPr>
      <w:bookmarkStart w:id="89" w:name="X21da6a0927de4cd993063a9db3281001f5ac2e7"/>
      <w:r>
        <w:t xml:space="preserve">Do reference lists describe author knowledge?</w:t>
      </w:r>
      <w:bookmarkEnd w:id="89"/>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90" w:name="voc"/>
      <w:r>
        <w:t xml:space="preserve">Vocabularies of Anthropology and Sociology, 1888-1922</w:t>
      </w:r>
      <w:bookmarkEnd w:id="90"/>
    </w:p>
    <w:p>
      <w:pPr>
        <w:pStyle w:val="Heading4"/>
      </w:pPr>
      <w:bookmarkStart w:id="91" w:name="abstract-3"/>
      <w:r>
        <w:t xml:space="preserve">Abstract</w:t>
      </w:r>
      <w:bookmarkEnd w:id="91"/>
    </w:p>
    <w:p>
      <w:pPr>
        <w:pStyle w:val="FirstParagraph"/>
      </w:pPr>
      <w:r>
        <w:t xml:space="preserve">Knowledge development of journals in sociology and anthropology is measured as the change in topic prevalence over time.</w:t>
      </w:r>
    </w:p>
    <w:p>
      <w:pPr>
        <w:pStyle w:val="Heading4"/>
      </w:pPr>
      <w:bookmarkStart w:id="92" w:name="keywords-3"/>
      <w:r>
        <w:t xml:space="preserve">Keywords</w:t>
      </w:r>
      <w:bookmarkEnd w:id="92"/>
    </w:p>
    <w:p>
      <w:pPr>
        <w:pStyle w:val="FirstParagraph"/>
      </w:pPr>
      <w:r>
        <w:t xml:space="preserve">sociology of knowledge, topic modeling, history of social science</w:t>
      </w:r>
    </w:p>
    <w:p>
      <w:pPr>
        <w:pStyle w:val="Heading2"/>
      </w:pPr>
      <w:bookmarkStart w:id="93" w:name="kd"/>
      <w:r>
        <w:t xml:space="preserve">Knowledge Development</w:t>
      </w:r>
      <w:bookmarkEnd w:id="93"/>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94" w:name="kd-dq2"/>
      <w:r>
        <w:t xml:space="preserve">Social Science Journals</w:t>
      </w:r>
      <w:bookmarkEnd w:id="94"/>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2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Periods in the Growth of the Number of Social Science Journals in the JSTOR Archive</w:t>
      </w:r>
    </w:p>
    <w:p>
      <w:pPr>
        <w:pStyle w:val="CaptionedFigure"/>
      </w:pPr>
      <w:r>
        <w:drawing>
          <wp:inline>
            <wp:extent cx="5334000" cy="4267200"/>
            <wp:effectExtent b="0" l="0" r="0" t="0"/>
            <wp:docPr descr="Figure 13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Decennial growth in number of PhD degrees conferred in the U.S.</w:t>
      </w:r>
    </w:p>
    <w:p>
      <w:pPr>
        <w:pStyle w:val="CaptionedFigure"/>
      </w:pPr>
      <w:r>
        <w:drawing>
          <wp:inline>
            <wp:extent cx="5334000" cy="4267200"/>
            <wp:effectExtent b="0" l="0" r="0" t="0"/>
            <wp:docPr descr="Figure 14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98" w:name="topics-ideas"/>
      <w:r>
        <w:t xml:space="preserve">Topics ≟ Ideas</w:t>
      </w:r>
      <w:bookmarkEnd w:id="98"/>
    </w:p>
    <w:p>
      <w:pPr>
        <w:pStyle w:val="FirstParagraph"/>
      </w:pPr>
      <w:r>
        <w:t xml:space="preserve">The strategy of the study occurs in four steps.</w:t>
      </w:r>
    </w:p>
    <w:p>
      <w:pPr>
        <w:pStyle w:val="Compact"/>
        <w:numPr>
          <w:numId w:val="1004"/>
          <w:ilvl w:val="0"/>
        </w:numPr>
      </w:pPr>
      <w:r>
        <w:t xml:space="preserve">Sort text into categories of similar vocabulary.</w:t>
      </w:r>
    </w:p>
    <w:p>
      <w:pPr>
        <w:pStyle w:val="Compact"/>
        <w:numPr>
          <w:numId w:val="1004"/>
          <w:ilvl w:val="0"/>
        </w:numPr>
      </w:pPr>
      <w:r>
        <w:t xml:space="preserve">Describe the vocabularies that define category membership.</w:t>
      </w:r>
    </w:p>
    <w:p>
      <w:pPr>
        <w:pStyle w:val="Compact"/>
        <w:numPr>
          <w:numId w:val="1004"/>
          <w:ilvl w:val="0"/>
        </w:numPr>
      </w:pPr>
      <w:r>
        <w:t xml:space="preserve">Describe vocabulary prevalence across time and discipline.</w:t>
      </w:r>
    </w:p>
    <w:p>
      <w:pPr>
        <w:pStyle w:val="Compact"/>
        <w:numPr>
          <w:numId w:val="1004"/>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99" w:name="kd-lit"/>
      <w:r>
        <w:t xml:space="preserve">Prior Work</w:t>
      </w:r>
      <w:bookmarkEnd w:id="99"/>
    </w:p>
    <w:p>
      <w:pPr>
        <w:pStyle w:val="Heading2"/>
      </w:pPr>
      <w:bookmarkStart w:id="100" w:name="information"/>
      <w:r>
        <w:t xml:space="preserve">Information</w:t>
      </w:r>
      <w:bookmarkEnd w:id="100"/>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101" w:name="meaning"/>
      <w:r>
        <w:t xml:space="preserve">Meaning</w:t>
      </w:r>
      <w:bookmarkEnd w:id="101"/>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102" w:name="communication"/>
      <w:r>
        <w:t xml:space="preserve">Communication</w:t>
      </w:r>
      <w:bookmarkEnd w:id="102"/>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et al.</w:t>
      </w:r>
      <w:r>
        <w:t xml:space="preserve"> </w:t>
      </w:r>
      <w:hyperlink w:anchor="ref-DiMaggio2013Exploiting">
        <w:r>
          <w:rPr>
            <w:rStyle w:val="Hyperlink"/>
          </w:rPr>
          <w:t xml:space="preserve">2013</w:t>
        </w:r>
      </w:hyperlink>
      <w:r>
        <w:t xml:space="preserve">)</w:t>
      </w:r>
    </w:p>
    <w:p>
      <w:pPr>
        <w:pStyle w:val="Heading2"/>
      </w:pPr>
      <w:bookmarkStart w:id="103" w:name="full-text"/>
      <w:r>
        <w:t xml:space="preserve">Full-Text</w:t>
      </w:r>
      <w:bookmarkEnd w:id="103"/>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104" w:name="kd-dd"/>
      <w:r>
        <w:t xml:space="preserve">Data</w:t>
      </w:r>
      <w:bookmarkEnd w:id="104"/>
    </w:p>
    <w:p>
      <w:pPr>
        <w:pStyle w:val="FirstParagraph"/>
      </w:pPr>
      <w:r>
        <w:t xml:space="preserve">Every record for every journal was downloaded manually, including front and back matter, articles, and book reviews.</w:t>
      </w:r>
    </w:p>
    <w:p>
      <w:pPr>
        <w:pStyle w:val="Heading2"/>
      </w:pPr>
      <w:bookmarkStart w:id="105" w:name="kd-dp1"/>
      <w:r>
        <w:t xml:space="preserve">Sampling</w:t>
      </w:r>
      <w:bookmarkEnd w:id="105"/>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06" w:name="units-of-analysis"/>
      <w:r>
        <w:t xml:space="preserve">Units of Analysis</w:t>
      </w:r>
      <w:bookmarkEnd w:id="106"/>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07" w:name="kd-dp2"/>
      <w:r>
        <w:t xml:space="preserve">Topics</w:t>
      </w:r>
      <w:bookmarkEnd w:id="107"/>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08" w:name="how-many-topics"/>
      <w:r>
        <w:t xml:space="preserve">How many topics?</w:t>
      </w:r>
      <w:bookmarkEnd w:id="108"/>
    </w:p>
    <w:p>
      <w:pPr>
        <w:pStyle w:val="CaptionedFigure"/>
      </w:pPr>
      <w:r>
        <w:drawing>
          <wp:inline>
            <wp:extent cx="4620126" cy="3696101"/>
            <wp:effectExtent b="0" l="0" r="0" t="0"/>
            <wp:docPr descr="Figure 15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6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16 Significant Counts of K</w:t>
      </w:r>
    </w:p>
    <w:p>
      <w:pPr>
        <w:pStyle w:val="Heading2"/>
      </w:pPr>
      <w:bookmarkStart w:id="111" w:name="model-selection"/>
      <w:r>
        <w:t xml:space="preserve">Model selection</w:t>
      </w:r>
      <w:bookmarkEnd w:id="111"/>
    </w:p>
    <w:p>
      <w:pPr>
        <w:pStyle w:val="Heading1"/>
      </w:pPr>
      <w:bookmarkStart w:id="112" w:name="ten"/>
      <w:r>
        <w:t xml:space="preserve">The Development of Intensive Referencing</w:t>
      </w:r>
      <w:bookmarkEnd w:id="112"/>
    </w:p>
    <w:p>
      <w:pPr>
        <w:pStyle w:val="Heading4"/>
      </w:pPr>
      <w:bookmarkStart w:id="113" w:name="abstract-4"/>
      <w:r>
        <w:t xml:space="preserve">Abstract</w:t>
      </w:r>
      <w:bookmarkEnd w:id="113"/>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14" w:name="keywords-4"/>
      <w:r>
        <w:t xml:space="preserve">Keywords</w:t>
      </w:r>
      <w:bookmarkEnd w:id="114"/>
    </w:p>
    <w:p>
      <w:pPr>
        <w:pStyle w:val="FirstParagraph"/>
      </w:pPr>
      <w:r>
        <w:t xml:space="preserve">poisson, permutation test, historical development, citation, bibliometry, history of social science</w:t>
      </w:r>
    </w:p>
    <w:p>
      <w:pPr>
        <w:pStyle w:val="BodyText"/>
      </w:pPr>
      <w:r>
        <w:t xml:space="preserve">##intro</w:t>
      </w:r>
    </w:p>
    <w:p>
      <w:pPr>
        <w:pStyle w:val="BodyText"/>
      </w:pP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15" w:name="method-1"/>
      <w:r>
        <w:t xml:space="preserve">method</w:t>
      </w:r>
      <w:bookmarkEnd w:id="115"/>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16" w:name="lit-review"/>
      <w:r>
        <w:t xml:space="preserve">lit review</w:t>
      </w:r>
      <w:bookmarkEnd w:id="116"/>
    </w:p>
    <w:bookmarkStart w:id="140" w:name="refs"/>
    <w:bookmarkStart w:id="117"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17"/>
    <w:bookmarkStart w:id="118" w:name="ref-Blondel2008Fast"/>
    <w:p>
      <w:pPr>
        <w:pStyle w:val="Bibliography"/>
      </w:pPr>
      <w:r>
        <w:t xml:space="preserve">Blondel, Vincent D., Jean-Loup Guillaume, Renaud Lambiotte, and Etienne Lefebvre. 2008. “Fast Unfolding of Communities in Large Networks.”</w:t>
      </w:r>
    </w:p>
    <w:bookmarkEnd w:id="118"/>
    <w:bookmarkStart w:id="119"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19"/>
    <w:bookmarkStart w:id="120" w:name="ref-Boyd-Graber2017Applications"/>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bookmarkEnd w:id="120"/>
    <w:bookmarkStart w:id="121"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21"/>
    <w:bookmarkStart w:id="122"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22"/>
    <w:bookmarkStart w:id="123"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123"/>
    <w:bookmarkStart w:id="124"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24"/>
    <w:bookmarkStart w:id="125" w:name="ref-Fortunato2016Community"/>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bookmarkEnd w:id="125"/>
    <w:bookmarkStart w:id="126"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26"/>
    <w:bookmarkStart w:id="127" w:name="ref-Grimmer2016Measuring"/>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bookmarkEnd w:id="127"/>
    <w:bookmarkStart w:id="128"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28"/>
    <w:bookmarkStart w:id="129" w:name="ref-JSTOR2018Title"/>
    <w:p>
      <w:pPr>
        <w:pStyle w:val="Bibliography"/>
      </w:pPr>
      <w:r>
        <w:t xml:space="preserve">JSTOR. 2018. “Title Lists.”</w:t>
      </w:r>
      <w:r>
        <w:t xml:space="preserve"> </w:t>
      </w:r>
      <w:r>
        <w:rPr>
          <w:i/>
        </w:rPr>
        <w:t xml:space="preserve">JSTOR Support Home</w:t>
      </w:r>
      <w:r>
        <w:t xml:space="preserve">.</w:t>
      </w:r>
    </w:p>
    <w:bookmarkEnd w:id="129"/>
    <w:bookmarkStart w:id="130" w:name="ref-Krivitsky2008Fitting"/>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bookmarkEnd w:id="130"/>
    <w:bookmarkStart w:id="131"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31"/>
    <w:bookmarkStart w:id="132"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32"/>
    <w:bookmarkStart w:id="133" w:name="ref-Morville2009Ambient"/>
    <w:p>
      <w:pPr>
        <w:pStyle w:val="Bibliography"/>
      </w:pPr>
      <w:r>
        <w:t xml:space="preserve">Morville, Peter. 2009.</w:t>
      </w:r>
      <w:r>
        <w:t xml:space="preserve"> </w:t>
      </w:r>
      <w:r>
        <w:rPr>
          <w:i/>
        </w:rPr>
        <w:t xml:space="preserve">Ambient Findability</w:t>
      </w:r>
      <w:r>
        <w:t xml:space="preserve">. O’Reilly.</w:t>
      </w:r>
    </w:p>
    <w:bookmarkEnd w:id="133"/>
    <w:bookmarkStart w:id="134"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34"/>
    <w:bookmarkStart w:id="135" w:name="ref-Newman2004Finding"/>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bookmarkEnd w:id="135"/>
    <w:bookmarkStart w:id="136" w:name="ref-Pilkington2009evolution"/>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bookmarkEnd w:id="136"/>
    <w:bookmarkStart w:id="137" w:name="ref-Schreibman2014NonConsumptive"/>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bookmarkEnd w:id="137"/>
    <w:bookmarkStart w:id="138"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38"/>
    <w:bookmarkStart w:id="139"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TODO, I did not, but should take a random draw of the same size to serve as a control.</w:t>
      </w:r>
    </w:p>
  </w:footnote>
  <w:footnote w:id="40">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3">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44">
    <w:p>
      <w:pPr>
        <w:pStyle w:val="FootnoteText"/>
      </w:pPr>
      <w:r>
        <w:rPr>
          <w:rStyle w:val="FootnoteReference"/>
        </w:rPr>
        <w:footnoteRef/>
      </w:r>
      <w:r>
        <w:t xml:space="preserve"> </w:t>
      </w:r>
      <w:r>
        <w:t xml:space="preserve">www.jstor.org/stable/10.2307/27909026</w:t>
      </w:r>
    </w:p>
  </w:footnote>
  <w:footnote w:id="46">
    <w:p>
      <w:pPr>
        <w:pStyle w:val="FootnoteText"/>
      </w:pPr>
      <w:r>
        <w:rPr>
          <w:rStyle w:val="FootnoteReference"/>
        </w:rPr>
        <w:footnoteRef/>
      </w:r>
      <w:r>
        <w:t xml:space="preserve"> </w:t>
      </w:r>
      <w:r>
        <w:t xml:space="preserve">www.jstor.org/stable/10.2307/43795866</w:t>
      </w:r>
    </w:p>
  </w:footnote>
  <w:footnote w:id="61">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66" Target="media/rId66.png" /><Relationship Type="http://schemas.openxmlformats.org/officeDocument/2006/relationships/image" Id="rId95" Target="media/rId95.png" /><Relationship Type="http://schemas.openxmlformats.org/officeDocument/2006/relationships/image" Id="rId86" Target="media/rId86.png" /><Relationship Type="http://schemas.openxmlformats.org/officeDocument/2006/relationships/image" Id="rId79" Target="media/rId79.png" /><Relationship Type="http://schemas.openxmlformats.org/officeDocument/2006/relationships/image" Id="rId67" Target="media/rId67.png" /><Relationship Type="http://schemas.openxmlformats.org/officeDocument/2006/relationships/image" Id="rId110" Target="media/rId110.png" /><Relationship Type="http://schemas.openxmlformats.org/officeDocument/2006/relationships/image" Id="rId63" Target="media/rId63.png" /><Relationship Type="http://schemas.openxmlformats.org/officeDocument/2006/relationships/image" Id="rId97" Target="media/rId97.png" /><Relationship Type="http://schemas.openxmlformats.org/officeDocument/2006/relationships/image" Id="rId96" Target="media/rId96.png" /><Relationship Type="http://schemas.openxmlformats.org/officeDocument/2006/relationships/image" Id="rId109" Target="media/rId109.png" /><Relationship Type="http://schemas.openxmlformats.org/officeDocument/2006/relationships/image" Id="rId50" Target="media/rId50.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83" Target="https://www.jstor.org/stable/i40084238" TargetMode="External" /><Relationship Type="http://schemas.openxmlformats.org/officeDocument/2006/relationships/hyperlink" Id="rId84" Target="https://www.jstor.org/stable/i40084262" TargetMode="External" /><Relationship Type="http://schemas.openxmlformats.org/officeDocument/2006/relationships/hyperlink" Id="rId80"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83" Target="https://www.jstor.org/stable/i40084238" TargetMode="External" /><Relationship Type="http://schemas.openxmlformats.org/officeDocument/2006/relationships/hyperlink" Id="rId84" Target="https://www.jstor.org/stable/i40084262" TargetMode="External" /><Relationship Type="http://schemas.openxmlformats.org/officeDocument/2006/relationships/hyperlink" Id="rId80"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2019-07-11T06:20:02Z</dcterms:created>
  <dcterms:modified xsi:type="dcterms:W3CDTF">2019-07-11T06:20:02Z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2019-07-11</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