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89.png" ContentType="image/png"/>
  <Override PartName="/word/media/rId80.png" ContentType="image/png"/>
  <Override PartName="/word/media/rId73.png" ContentType="image/png"/>
  <Override PartName="/word/media/rId61.png" ContentType="image/png"/>
  <Override PartName="/word/media/rId104.png" ContentType="image/png"/>
  <Override PartName="/word/media/rId57.png" ContentType="image/png"/>
  <Override PartName="/word/media/rId91.png" ContentType="image/png"/>
  <Override PartName="/word/media/rId90.png" ContentType="image/png"/>
  <Override PartName="/word/media/rId103.png" ContentType="image/png"/>
  <Override PartName="/word/media/rId44.png" ContentType="image/png"/>
  <Override PartName="/word/media/rId76.png" ContentType="image/png"/>
  <Override PartName="/word/media/rId79.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2019-07-09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(ref:abs-int)</w:t>
      </w:r>
    </w:p>
    <w:p>
      <w:pPr>
        <w:pStyle w:val="BodyText"/>
      </w:pPr>
      <w:r>
        <w:t xml:space="preserve">(ref:abs-int)</w:t>
      </w:r>
    </w:p>
    <w:p>
      <w:pPr>
        <w:pStyle w:val="BodyText"/>
      </w:pPr>
      <w:r>
        <w:t xml:space="preserve">(ref:key-int)</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(ref:abs-int)</w:t>
      </w:r>
    </w:p>
    <w:p>
      <w:pPr>
        <w:pStyle w:val="Heading4"/>
      </w:pPr>
      <w:bookmarkStart w:id="32" w:name="keywords"/>
      <w:r>
        <w:t xml:space="preserve">Keywords</w:t>
      </w:r>
      <w:bookmarkEnd w:id="32"/>
    </w:p>
    <w:p>
      <w:pPr>
        <w:pStyle w:val="FirstParagraph"/>
      </w:pPr>
      <w:r>
        <w:t xml:space="preserve">(ref:key-int)</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
      <w:r>
        <w:t xml:space="preserve">Genre</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rigourous,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within art, music, literature,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differently between and within disciplines.</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2"/>
      </w:pPr>
      <w:bookmarkStart w:id="35" w:name="discipline"/>
      <w:r>
        <w:t xml:space="preserve">Discipline</w:t>
      </w:r>
      <w:bookmarkEnd w:id="35"/>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If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BodyText"/>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w:t>
      </w:r>
    </w:p>
    <w:p>
      <w:pPr>
        <w:pStyle w:val="Heading2"/>
      </w:pPr>
      <w:bookmarkStart w:id="36" w:name="method"/>
      <w:r>
        <w:t xml:space="preserve">Method</w:t>
      </w:r>
      <w:bookmarkEnd w:id="36"/>
    </w:p>
    <w:p>
      <w:pPr>
        <w:pStyle w:val="Heading3"/>
      </w:pPr>
      <w:bookmarkStart w:id="37" w:name="distant-sampling"/>
      <w:r>
        <w:t xml:space="preserve">Distant sampling</w:t>
      </w:r>
      <w:bookmarkEnd w:id="37"/>
    </w:p>
    <w:p>
      <w:pPr>
        <w:pStyle w:val="FirstParagraph"/>
      </w:pPr>
      <w:r>
        <w:t xml:space="preserve">The methodological premise of a meta-analysis of genre is that the Gordian knot of global cultural complexity can be cut by stratified sampling. I use a large digital archive of texts, JSTOR, to define the cultural universe, and a simple term search of the keyword</w:t>
      </w:r>
      <w:r>
        <w:t xml:space="preserve"> </w:t>
      </w:r>
      <w:r>
        <w:t xml:space="preserve">“</w:t>
      </w:r>
      <w:r>
        <w:t xml:space="preserve">genre</w:t>
      </w:r>
      <w:r>
        <w:t xml:space="preserve">”</w:t>
      </w:r>
      <w:r>
        <w:t xml:space="preserve"> </w:t>
      </w:r>
      <w:r>
        <w:t xml:space="preserve">to define a sampling frame. 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38" w:name="arms-length-reading"/>
      <w:r>
        <w:t xml:space="preserve">Arms-length reading</w:t>
      </w:r>
      <w:bookmarkEnd w:id="38"/>
    </w:p>
    <w:p>
      <w:pPr>
        <w:pStyle w:val="FirstParagraph"/>
      </w:pPr>
      <w:r>
        <w:t xml:space="preserve">The radical (and often maligned) distant reading approach taken by digital humanists is being taken up with gusto by social scientists who are less skeptical of quantitative methods. Following Nelson [*</w:t>
      </w:r>
      <w:r>
        <w:t xml:space="preserve">Nelson (</w:t>
      </w:r>
      <w:hyperlink w:anchor="ref-Nelson2017Computational">
        <w:r>
          <w:rPr>
            <w:rStyle w:val="Hyperlink"/>
          </w:rPr>
          <w:t xml:space="preserve">2017</w:t>
        </w:r>
      </w:hyperlink>
      <w:r>
        <w:t xml:space="preserve">)</w:t>
      </w:r>
      <w:r>
        <w:t xml:space="preserve">] I employ a quantitative analysis of texts not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39"/>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If on the contrary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2"/>
      </w:pPr>
      <w:bookmarkStart w:id="40" w:name="data"/>
      <w:r>
        <w:t xml:space="preserve">Data</w:t>
      </w:r>
      <w:bookmarkEnd w:id="40"/>
    </w:p>
    <w:p>
      <w:pPr>
        <w:pStyle w:val="FirstParagraph"/>
      </w:pPr>
      <w:r>
        <w:t xml:space="preserve">We will use the JSTOR Data for Research service to download a corpus of texts for topic modeling. I take the following steps to develop a corpus:</w:t>
      </w:r>
    </w:p>
    <w:p>
      <w:pPr>
        <w:pStyle w:val="Compact"/>
        <w:numPr>
          <w:numId w:val="1002"/>
          <w:ilvl w:val="0"/>
        </w:numPr>
      </w:pPr>
      <w:r>
        <w:t xml:space="preserve">Search dfr.jstor.org using the query</w:t>
      </w:r>
      <w:r>
        <w:t xml:space="preserve"> </w:t>
      </w:r>
      <w:r>
        <w:rPr>
          <w:rStyle w:val="VerbatimChar"/>
        </w:rPr>
        <w:t xml:space="preserve">(ta:genre OR ab:genre) AND la:eng</w:t>
      </w:r>
      <w:r>
        <w:t xml:space="preserve"> </w:t>
      </w:r>
      <w:r>
        <w:t xml:space="preserve">and requesting 1grams.</w:t>
      </w:r>
    </w:p>
    <w:p>
      <w:pPr>
        <w:pStyle w:val="Compact"/>
        <w:numPr>
          <w:numId w:val="1002"/>
          <w:ilvl w:val="0"/>
        </w:numPr>
      </w:pPr>
      <w:r>
        <w:t xml:space="preserve">To cull documents for which genre is not an important term, exclude documents containing the 1gram</w:t>
      </w:r>
      <w:r>
        <w:t xml:space="preserve"> </w:t>
      </w:r>
      <w:r>
        <w:t xml:space="preserve">“</w:t>
      </w:r>
      <w:r>
        <w:t xml:space="preserve">genre</w:t>
      </w:r>
      <w:r>
        <w:t xml:space="preserve">”</w:t>
      </w:r>
      <w:r>
        <w:t xml:space="preserve"> </w:t>
      </w:r>
      <w:r>
        <w:t xml:space="preserve">fewer than five times.</w:t>
      </w:r>
    </w:p>
    <w:p>
      <w:pPr>
        <w:pStyle w:val="Compact"/>
        <w:numPr>
          <w:numId w:val="1002"/>
          <w:ilvl w:val="0"/>
        </w:numPr>
      </w:pPr>
      <w:r>
        <w:t xml:space="preserve">Remove ngrams appearing fewer than three times, which often includes optical character recognition errors.</w:t>
      </w:r>
    </w:p>
    <w:p>
      <w:pPr>
        <w:pStyle w:val="Compact"/>
        <w:numPr>
          <w:numId w:val="1002"/>
          <w:ilvl w:val="0"/>
        </w:numPr>
      </w:pPr>
      <w:r>
        <w:t xml:space="preserve">Remove ngrams shorter than three characters and longer than 25 characters, again often OCR errors but also stopwords that will be removed anyway.</w:t>
      </w:r>
      <w:r>
        <w:rPr>
          <w:rStyle w:val="FootnoteReference"/>
        </w:rPr>
        <w:footnoteReference w:id="41"/>
      </w:r>
    </w:p>
    <w:p>
      <w:pPr>
        <w:pStyle w:val="Compact"/>
        <w:numPr>
          <w:numId w:val="1002"/>
          <w:ilvl w:val="0"/>
        </w:numPr>
      </w:pPr>
      <w:r>
        <w:t xml:space="preserve">Compile baseline word counts for each document assuming that at this step the documents contain only valid terms, and no OCR errors.</w:t>
      </w:r>
    </w:p>
    <w:p>
      <w:pPr>
        <w:pStyle w:val="Compact"/>
        <w:numPr>
          <w:numId w:val="1002"/>
          <w:ilvl w:val="0"/>
        </w:numPr>
      </w:pPr>
      <w:r>
        <w:t xml:space="preserve">Remove SMART stopwords.</w:t>
      </w:r>
    </w:p>
    <w:p>
      <w:pPr>
        <w:pStyle w:val="Compact"/>
        <w:numPr>
          <w:numId w:val="1002"/>
          <w:ilvl w:val="0"/>
        </w:numPr>
      </w:pPr>
      <w:r>
        <w:t xml:space="preserve">Remove numbers.</w:t>
      </w:r>
    </w:p>
    <w:p>
      <w:pPr>
        <w:pStyle w:val="Compact"/>
        <w:numPr>
          <w:numId w:val="1002"/>
          <w:ilvl w:val="0"/>
        </w:numPr>
      </w:pPr>
      <w:r>
        <w:t xml:space="preserve">Remove punctuation, except intraword hyphens.</w:t>
      </w:r>
    </w:p>
    <w:p>
      <w:pPr>
        <w:pStyle w:val="Compact"/>
        <w:numPr>
          <w:numId w:val="1002"/>
          <w:ilvl w:val="0"/>
        </w:numPr>
      </w:pPr>
      <w:r>
        <w:t xml:space="preserve">Lemmatize or stem English words.</w:t>
      </w:r>
    </w:p>
    <w:p>
      <w:pPr>
        <w:pStyle w:val="Compact"/>
        <w:numPr>
          <w:numId w:val="1002"/>
          <w:ilvl w:val="0"/>
        </w:numPr>
      </w:pPr>
      <w:r>
        <w:t xml:space="preserve">Remove lemma with fewer than three characters.</w:t>
      </w:r>
    </w:p>
    <w:p>
      <w:pPr>
        <w:pStyle w:val="Compact"/>
        <w:numPr>
          <w:numId w:val="1002"/>
          <w:ilvl w:val="0"/>
        </w:numPr>
      </w:pPr>
      <w:r>
        <w:t xml:space="preserve">Aggregate 1grams defined by a single lemma and, for ease of interpretation, name the sum after the most common 1gram.</w:t>
      </w:r>
    </w:p>
    <w:p>
      <w:pPr>
        <w:pStyle w:val="Compact"/>
        <w:numPr>
          <w:numId w:val="1002"/>
          <w:ilvl w:val="0"/>
        </w:numPr>
      </w:pPr>
      <w:r>
        <w:t xml:space="preserve">Remove terms appearing in fewer than 20 documents.</w:t>
      </w:r>
    </w:p>
    <w:p>
      <w:pPr>
        <w:pStyle w:val="Compact"/>
        <w:numPr>
          <w:numId w:val="1002"/>
          <w:ilvl w:val="0"/>
        </w:numPr>
      </w:pPr>
      <w:r>
        <w:t xml:space="preserve">Remove documents that, after the above filters, have a word count of fewer than 500 words.</w:t>
      </w:r>
    </w:p>
    <w:p>
      <w:pPr>
        <w:pStyle w:val="FirstParagraph"/>
      </w:pPr>
      <w:r>
        <w:t xml:space="preserve">The initial query returned ? articles from ? different journals, as well as ? book chapters. After the above processing steps, the sample was reduced to ?. It is fair to ask what was lost.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which I will have cause to interpret later.</w:t>
      </w:r>
    </w:p>
    <w:p>
      <w:pPr>
        <w:pStyle w:val="Heading2"/>
      </w:pPr>
      <w:bookmarkStart w:id="42" w:name="sankey"/>
      <w:r>
        <w:t xml:space="preserve">sankey</w:t>
      </w:r>
      <w:bookmarkEnd w:id="42"/>
    </w:p>
    <w:p>
      <w:pPr>
        <w:pStyle w:val="FirstParagraph"/>
      </w:pPr>
      <w:r>
        <w:t xml:space="preserve">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Categorical Expectation Maximization is known to</w:t>
      </w:r>
    </w:p>
    <w:p>
      <w:pPr>
        <w:pStyle w:val="Heading2"/>
      </w:pPr>
      <w:bookmarkStart w:id="43" w:name="top-x-doc"/>
      <w:r>
        <w:t xml:space="preserve">top x doc</w:t>
      </w:r>
      <w:bookmarkEnd w:id="43"/>
    </w:p>
    <w:p>
      <w:pPr>
        <w:pStyle w:val="CaptionedFigure"/>
      </w:pPr>
      <w:r>
        <w:drawing>
          <wp:inline>
            <wp:extent cx="5334000" cy="4267200"/>
            <wp:effectExtent b="0" l="0" r="0" t="0"/>
            <wp:docPr descr="Figure 2 Sankey diagram of document overlap between topic models of increasing values of K." title="" id="1" name="Picture"/>
            <a:graphic>
              <a:graphicData uri="http://schemas.openxmlformats.org/drawingml/2006/picture">
                <pic:pic>
                  <pic:nvPicPr>
                    <pic:cNvPr descr="ambrose_dissertation_files/figure-docx/unnamed-chunk-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Sankey diagram of document overlap between topic models of increasing values of K.</w:t>
      </w:r>
    </w:p>
    <w:p>
      <w:pPr>
        <w:pStyle w:val="Heading1"/>
      </w:pPr>
      <w:bookmarkStart w:id="45" w:name="gen"/>
      <w:r>
        <w:t xml:space="preserve">Social Science Genres Today</w:t>
      </w:r>
      <w:bookmarkEnd w:id="45"/>
    </w:p>
    <w:p>
      <w:pPr>
        <w:pStyle w:val="Heading4"/>
      </w:pPr>
      <w:bookmarkStart w:id="46" w:name="abstract-1"/>
      <w:r>
        <w:t xml:space="preserve">Abstract</w:t>
      </w:r>
      <w:bookmarkEnd w:id="4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Heading4"/>
      </w:pPr>
      <w:bookmarkStart w:id="47" w:name="keywords-1"/>
      <w:r>
        <w:t xml:space="preserve">Keywords</w:t>
      </w:r>
      <w:bookmarkEnd w:id="47"/>
    </w:p>
    <w:p>
      <w:pPr>
        <w:pStyle w:val="FirstParagraph"/>
      </w:pPr>
      <w:r>
        <w:t xml:space="preserve">genre, social science, knowledge mapping, labeling, cognition</w:t>
      </w:r>
    </w:p>
    <w:p>
      <w:pPr>
        <w:pStyle w:val="Heading2"/>
      </w:pPr>
      <w:bookmarkStart w:id="48" w:name="introduction"/>
      <w:r>
        <w:t xml:space="preserve">Introduction</w:t>
      </w:r>
      <w:bookmarkEnd w:id="48"/>
    </w:p>
    <w:p>
      <w:pPr>
        <w:pStyle w:val="BlockText"/>
      </w:pPr>
      <w:r>
        <w:t xml:space="preserve">The science that everybody is…called upon to possess hardly deserves that name. It is not science; or at the very most it is the most common and general part of it. It is indeed limited to a few indispensable elements of knowledge which are only required of everyone because they are within everyone’s grasp. Science proper soars infinitely beyond this vulgar level. It includes not only what one would blush at not knowing, but all that it is possible to know. It presumes among those who are its adepts not only those average faculties possessed by all men, but special aptitudes. In consequence, since it is accessible only to an elite, it is not obligatory. Although something fine and useful, it is not so utterly indispensable that society categorically requires it. There is advantage in being equipped with it, but nothing immoral about not acquiring it. It is a field of activity open to everyone on their own initiative, but one which no one is compelled to enter. One is no more required to be a scientist than an artist.</w:t>
      </w:r>
      <w:r>
        <w:t xml:space="preserve"> </w:t>
      </w:r>
      <w:r>
        <w:t xml:space="preserve">(Durkheim</w:t>
      </w:r>
      <w:r>
        <w:t xml:space="preserve"> </w:t>
      </w:r>
      <w:hyperlink w:anchor="ref-Durkheim1893division">
        <w:r>
          <w:rPr>
            <w:rStyle w:val="Hyperlink"/>
          </w:rPr>
          <w:t xml:space="preserve">1893</w:t>
        </w:r>
      </w:hyperlink>
      <w:r>
        <w:t xml:space="preserve">:43)</w:t>
      </w:r>
    </w:p>
    <w:p>
      <w:pPr>
        <w:pStyle w:val="FirstParagraph"/>
      </w:pPr>
      <w:r>
        <w:t xml:space="preserve">Genre is a both a phenomenon and an analytical approach, indeed, several analytical approaches. I critique a contemporary use of multimodal network analysis to study genre as measured in cultural object network data. I argue that standard rational choice approaches in the sociology of culture, the theory of consumer preferences or tastes, does not pass a prima facie test of validity as an accurate representation of the global properties of so-called cultural networks. The same data that are used to demonstrate taste theory better support an alternative knowledge based approach to culture.</w:t>
      </w:r>
    </w:p>
    <w:p>
      <w:pPr>
        <w:pStyle w:val="Heading3"/>
      </w:pPr>
      <w:bookmarkStart w:id="49" w:name="taste"/>
      <w:r>
        <w:t xml:space="preserve">Taste</w:t>
      </w:r>
      <w:bookmarkEnd w:id="49"/>
    </w:p>
    <w:p>
      <w:pPr>
        <w:pStyle w:val="FirstParagraph"/>
      </w:pPr>
      <w:r>
        <w:t xml:space="preserve">Lizardo operationalizes genre preference data in network terms by</w:t>
      </w:r>
      <w:r>
        <w:t xml:space="preserve"> </w:t>
      </w:r>
      <w:r>
        <w:t xml:space="preserve">“</w:t>
      </w:r>
      <w:r>
        <w:t xml:space="preserve">inducing a network of persons connected to the cultural genres they choose</w:t>
      </w:r>
      <w:r>
        <w:t xml:space="preserve">”</w:t>
      </w:r>
      <w:r>
        <w:t xml:space="preserve"> </w:t>
      </w:r>
      <w:r>
        <w:t xml:space="preserve">(</w:t>
      </w:r>
      <w:hyperlink w:anchor="ref-Lizardo2018mutual">
        <w:r>
          <w:rPr>
            <w:rStyle w:val="Hyperlink"/>
          </w:rPr>
          <w:t xml:space="preserve">2018</w:t>
        </w:r>
      </w:hyperlink>
      <w:r>
        <w:t xml:space="preserve">:53)</w:t>
      </w:r>
      <w:r>
        <w:t xml:space="preserve">. This allows him to analyze individual preferences within a global context represented in bimodal network patterns. Multimodal networks, of which a bimodal network is the simplest type, are an analytical convention wherein at least two classes of items bear relations and in which a rule is imposed that such items may only be related to items of a different class. Insofar as the researcher cares about intraclass relationships she must understand them as mediated by one of the alternative classes.</w:t>
      </w:r>
    </w:p>
    <w:p>
      <w:pPr>
        <w:pStyle w:val="BodyText"/>
      </w:pPr>
      <w:r>
        <w:t xml:space="preserve">This multimodal metric convention aligns with cultural capital theories of culture which treat the consumption of cultural objects as transactions out of knowledge relationships and into status ones. In a knowledge relationship cultural logics obtain, usually a principle of rightness like truth, beauty, or morality. Social relationships, on the other hand, are governed by different rules, e.g. those of commitments like love and enmity or loyalty and rivalry. The meaning of a cultural object is given by the interactions established around it, which are themselves conditioned by role expectations</w:t>
      </w:r>
      <w:r>
        <w:t xml:space="preserve"> </w:t>
      </w:r>
      <w:r>
        <w:t xml:space="preserve">(DiMaggio</w:t>
      </w:r>
      <w:r>
        <w:t xml:space="preserve"> </w:t>
      </w:r>
      <w:hyperlink w:anchor="ref-DiMaggio1987Classification">
        <w:r>
          <w:rPr>
            <w:rStyle w:val="Hyperlink"/>
          </w:rPr>
          <w:t xml:space="preserve">1987</w:t>
        </w:r>
      </w:hyperlink>
      <w:r>
        <w:t xml:space="preserve">:445)</w:t>
      </w:r>
      <w:r>
        <w:t xml:space="preserve">. Cultural capital then is the type of relationship process where an actor tries to exchange knowledge for status as the basis for a relationship or at least to motivate a particular role interaction.</w:t>
      </w:r>
    </w:p>
    <w:p>
      <w:pPr>
        <w:pStyle w:val="BodyText"/>
      </w:pPr>
      <w:r>
        <w:t xml:space="preserve">This treatment of cultural capital differs from more strictly Bourdieusian approaches. Serino et al</w:t>
      </w:r>
      <w:r>
        <w:t xml:space="preserve"> </w:t>
      </w:r>
      <w:r>
        <w:t xml:space="preserve">(</w:t>
      </w:r>
      <w:r>
        <w:rPr>
          <w:b/>
        </w:rPr>
        <w:t xml:space="preserve">???</w:t>
      </w:r>
      <w:r>
        <w:t xml:space="preserve">)</w:t>
      </w:r>
      <w:r>
        <w:t xml:space="preserve"> </w:t>
      </w:r>
      <w:r>
        <w:t xml:space="preserve">do it differently.</w:t>
      </w:r>
    </w:p>
    <w:p>
      <w:pPr>
        <w:pStyle w:val="BodyText"/>
      </w:pPr>
      <w:r>
        <w:t xml:space="preserve">The simplest multimodal network has two classes (see</w:t>
      </w:r>
      <w:r>
        <w:t xml:space="preserve"> </w:t>
      </w:r>
      <w:r>
        <w:t xml:space="preserve">(Shi, Foster, and Evans</w:t>
      </w:r>
      <w:r>
        <w:t xml:space="preserve"> </w:t>
      </w:r>
      <w:hyperlink w:anchor="ref-Shi2015Weaving">
        <w:r>
          <w:rPr>
            <w:rStyle w:val="Hyperlink"/>
          </w:rPr>
          <w:t xml:space="preserve">2015</w:t>
        </w:r>
      </w:hyperlink>
      <w:r>
        <w:t xml:space="preserve">)</w:t>
      </w:r>
      <w:r>
        <w:t xml:space="preserve"> </w:t>
      </w:r>
      <w:r>
        <w:t xml:space="preserve">for examples of many more).</w:t>
      </w:r>
    </w:p>
    <w:p>
      <w:pPr>
        <w:pStyle w:val="BodyText"/>
      </w:pPr>
      <w:r>
        <w:t xml:space="preserve">culture as a disembodied abstraction</w:t>
      </w:r>
      <w:r>
        <w:t xml:space="preserve"> </w:t>
      </w:r>
      <w:r>
        <w:t xml:space="preserve">(Lizardo</w:t>
      </w:r>
      <w:r>
        <w:t xml:space="preserve"> </w:t>
      </w:r>
      <w:hyperlink w:anchor="ref-Lizardo2018mutual">
        <w:r>
          <w:rPr>
            <w:rStyle w:val="Hyperlink"/>
          </w:rPr>
          <w:t xml:space="preserve">2018</w:t>
        </w:r>
      </w:hyperlink>
      <w:r>
        <w:t xml:space="preserve">)</w:t>
      </w:r>
    </w:p>
    <w:p>
      <w:pPr>
        <w:pStyle w:val="BlockText"/>
        <w:pStyle w:val="BlockText"/>
      </w:pPr>
      <w:r>
        <w:t xml:space="preserve">Genre classifications socialize the infrastructure costs of artistic production.</w:t>
      </w:r>
      <w:r>
        <w:t xml:space="preserve"> </w:t>
      </w:r>
      <w:r>
        <w:t xml:space="preserve">(DiMaggio</w:t>
      </w:r>
      <w:r>
        <w:t xml:space="preserve"> </w:t>
      </w:r>
      <w:hyperlink w:anchor="ref-DiMaggio1987Classification">
        <w:r>
          <w:rPr>
            <w:rStyle w:val="Hyperlink"/>
          </w:rPr>
          <w:t xml:space="preserve">1987</w:t>
        </w:r>
      </w:hyperlink>
      <w:r>
        <w:t xml:space="preserve">:445)</w:t>
      </w:r>
    </w:p>
    <w:p>
      <w:pPr>
        <w:pStyle w:val="Heading3"/>
      </w:pPr>
      <w:bookmarkStart w:id="50" w:name="structuralist"/>
      <w:r>
        <w:t xml:space="preserve">Structuralist</w:t>
      </w:r>
      <w:bookmarkEnd w:id="50"/>
    </w:p>
    <w:p>
      <w:pPr>
        <w:pStyle w:val="FirstParagraph"/>
      </w:pPr>
      <w:r>
        <w:t xml:space="preserve">Genres are a feature of two kinds of cultural surplus. First, genres are not necessary if knowledge is limited to a small number of lessons, stories, ideas, or skills. Such a cultural corpus is naturally held as</w:t>
      </w:r>
      <w:r>
        <w:t xml:space="preserve"> </w:t>
      </w:r>
      <w:r>
        <w:t xml:space="preserve">“</w:t>
      </w:r>
      <w:r>
        <w:t xml:space="preserve">the</w:t>
      </w:r>
      <w:r>
        <w:t xml:space="preserve">”</w:t>
      </w:r>
      <w:r>
        <w:t xml:space="preserve"> </w:t>
      </w:r>
      <w:r>
        <w:t xml:space="preserve">obligatory culture, and because knowers do not experience options they do not face the problem that genres solve. When such a unary culture expands beyond the mental or technological limits of memory, or when it is faced with alien knowledge sources, a proto genre is functionally necessary that allows for a binary classification between sense and nonsense.</w:t>
      </w:r>
    </w:p>
    <w:p>
      <w:pPr>
        <w:pStyle w:val="BodyText"/>
      </w:pPr>
      <w:r>
        <w:t xml:space="preserve">Such a proto genre allows two things. Alien material becomes obvious, perhaps dangerous, but not confusing as it can be safely cordoned off from what is real knowledge. Second and perhaps more interestingly, a proto genre precipitates cultural expansion by allowing some stories (ideas, skills, products) to be told differently. Such novelty maintains interest without exciting alienation. In those acts of deciding what makes sense (inclusion) and what is nonsense (exclusion) the rules of the genre begin to form.</w:t>
      </w:r>
    </w:p>
    <w:p>
      <w:pPr>
        <w:pStyle w:val="BodyText"/>
      </w:pPr>
      <w:r>
        <w:t xml:space="preserve">When genres become multiple they cease to be about sense and nonsense and begin to be about relevance and irrelevance. They allow local action with a globalized culture by reducing local cultural complexity to a manageable level, and what is more important, they make normative and binding the particular pattern of exclusion. The genre classification of particular cultural objects must be done correctly or they will invite more or less predictable social backlash. In this way</w:t>
      </w:r>
      <w:r>
        <w:t xml:space="preserve"> </w:t>
      </w:r>
      <w:r>
        <w:t xml:space="preserve">“</w:t>
      </w:r>
      <w:r>
        <w:t xml:space="preserve">personal genre</w:t>
      </w:r>
      <w:r>
        <w:t xml:space="preserve">”</w:t>
      </w:r>
      <w:r>
        <w:t xml:space="preserve"> </w:t>
      </w:r>
      <w:r>
        <w:t xml:space="preserve">must be understood to be an oxymoron; a person may have tastes, her own rules of repulsion and attraction, but to the extent that these tastes abrogate genre conventions a person has difficult decisions to make about how she will field the forms of social regulations, and perhaps rewards, that she will incur in expressing those tastes.</w:t>
      </w:r>
    </w:p>
    <w:p>
      <w:pPr>
        <w:pStyle w:val="BodyText"/>
      </w:pPr>
      <w:r>
        <w:t xml:space="preserve">This is not to say that socialized tastes, tastes that conform to genre convention, do not incure regulation and reward. Indeed we will see that one function of multigenre systems is to allow cultural industries to minimize exclusion and maximize conversions. In this sense the developmental model with which we began has a circular logic of scale; as genre systems grow and differentiate in the vain attempt to index the wild cultural content they hope to classify, industrial action lights upon this natural tendency and works to domesticate it. In working to exclude nothing, purveyors of culture demonstrate themselves to be tastelessly willing to hock something to anyone.</w:t>
      </w:r>
    </w:p>
    <w:p>
      <w:pPr>
        <w:pStyle w:val="BodyText"/>
      </w:pPr>
      <w:r>
        <w:t xml:space="preserve">This simple structuralism is a functional understanding of genres, which though not a sensible analytical approach in contemporary sociology, forms the spine of the argument to follow. The effect of genres that we wish to focus on is their exclusion potential.</w:t>
      </w:r>
    </w:p>
    <w:p>
      <w:pPr>
        <w:pStyle w:val="Heading2"/>
      </w:pPr>
      <w:bookmarkStart w:id="51" w:name="culture"/>
      <w:r>
        <w:t xml:space="preserve">Culture</w:t>
      </w:r>
      <w:bookmarkEnd w:id="51"/>
    </w:p>
    <w:p>
      <w:pPr>
        <w:pStyle w:val="FirstParagraph"/>
      </w:pPr>
      <w:r>
        <w:t xml:space="preserve">Bodies of knowledge and practice, cultures, exist because of yet apart from particular people. While some cultures are ubiquitous and inculcated in all members of the societies in which they are substantiated, others are esoteric and marked by significant barriers to learning them. Such esoteric cultures are as inaccessible as they are unnecessary. A child who does not learn what to eat and how to eat it in her local culture will have great difficulty doing anything else in her society. Food culture is of the ubiquitous type and is not difficult to learn. On the other hand, a child who does not master scripture will be ashamed at temple, but shame is bearable in a way that hunger is not. Scripture is of the esoteric type; knowledge of it enables special abilities and grants access to restricted aspects of a society, but ignorance of it does not threaten one’s lay livelihood. Even in religiously totalitarian societies, what religous knowledge is necessary will be ubiquitous. What religious knowledge is esoteric can be safely left to the clergy. It is not too narrowly circular to say that the knowledge that informs daily life is the easiest to aqcuire, and that the mere act of living also reproduces that knowledge within contexts that are themselves ubiquitous. Whether relationships of ubiquity are familial, economic, or state relations varies by society, but no society lacks ubiquitous culture and the means of reproducing it.</w:t>
      </w:r>
    </w:p>
    <w:p>
      <w:pPr>
        <w:pStyle w:val="BodyText"/>
      </w:pPr>
      <w:r>
        <w:t xml:space="preserve">Esoteric cultures, then, are removed from ubiquitous ones though they depend on them. They require specialized social relationships for their reproduction in populations. These special relationships may be called fields of cultural production (FCP). FCPs are both reproductive of extant knowledge and productive of novel knowledge relevant usually only to the field itself. To the extent that esoteric cultures are complicated or otherwise have high entropy, the failure to reproduce their cultural content is always an existential threat. While it is a gaurantee that cultural content is constantly actually lost to reproduction failures, cultures that nonetheless persist historically must always have a socially structured FCP that, in inculcating new members and reinforcing the knowledge of extant members, resists the entropic decay that would otherwise lead to extinction.</w:t>
      </w:r>
    </w:p>
    <w:p>
      <w:pPr>
        <w:pStyle w:val="BodyText"/>
      </w:pPr>
      <w:r>
        <w:t xml:space="preserve">The scope of a culture has a knowledge and a social dimension. Units of knowledge are both discrete and combinatoric. Discretely, the size of a culture can be measured by a count of co-occuring ideas and skills. The utility of knowledge, for instance as instantiated in an FCP, often depends on the combination and interaction of such discrete elements. The mass of knowledge in a culture is related to the count of units and to the ease with which those units can be learned, thought, or deployed in meaningful activity. Some cultures are easier than others, and it is the effort-adjusted size that is the real mass of the ideational content of a culture.</w:t>
      </w:r>
    </w:p>
    <w:p>
      <w:pPr>
        <w:pStyle w:val="BodyText"/>
      </w:pPr>
      <w:r>
        <w:t xml:space="preserve">Not all sociologically relevant information is cultural. In the triadic relationship among culture, social structure, and personality, psychological concepts like schemata that are sometimes treated as constitutive of social structure do not belong in the category of culture. Schemata allow personalities to organize their responses to a world that includes many things beyond culture. In order for cultures and social structures to function stably in time, they depend on the successful operation of schema, but they do not necessarily provision these schema. An only partial exception is the limiting and very specialized cases of pedagogical institutions. A culture can only exist if people can reproduce it, but the people must solve the psychological problems of cognition on their own. Whereas culture is fungible in its different mediated forms, there is no reason to believe that a</w:t>
      </w:r>
      <w:r>
        <w:t xml:space="preserve"> </w:t>
      </w:r>
      <w:r>
        <w:t xml:space="preserve">“</w:t>
      </w:r>
      <w:r>
        <w:t xml:space="preserve">single schema</w:t>
      </w:r>
      <w:r>
        <w:t xml:space="preserve">”</w:t>
      </w:r>
      <w:r>
        <w:t xml:space="preserve"> </w:t>
      </w:r>
      <w:r>
        <w:t xml:space="preserve">occurs across a population of people. There are no one-size-fits-all solutions to human motivation, and schema will to a large extent be idiosyncratic, adapted as they must be to the particular circumstances in which people as träger find themselves.</w:t>
      </w:r>
    </w:p>
    <w:p>
      <w:pPr>
        <w:pStyle w:val="BodyText"/>
      </w:pPr>
      <w:r>
        <w:t xml:space="preserve">What cultures can do to hedge their bets against the instability of personalities is to introduce kinds of knowledge adapted to cognitive problems. Schutz identifies systems of relevance from the side of personalities, and here we understand the same from the side of cultures.</w:t>
      </w:r>
    </w:p>
    <w:p>
      <w:pPr>
        <w:pStyle w:val="BodyText"/>
      </w:pPr>
      <w:r>
        <w:t xml:space="preserve">People know culture and it does not appear apart from them. Put differently, culture is information and people are the media that concretely manifest it. The size of a culture is the count of the unique ideas and idea combinations appearing in a deduplicated media catalog, excluding possible but unrealized combinations. The potential of a culture is the size of the realized and unrealized combinations, where the number of elements in a set is limited by a given historical cognitive and technological memory capacity. The potential of a real culture is always greater than its size, as combination novelty always easily exceeds the available media.</w:t>
      </w:r>
    </w:p>
    <w:p>
      <w:pPr>
        <w:pStyle w:val="BodyText"/>
      </w:pPr>
      <w:r>
        <w:t xml:space="preserve">The social mass of the culture is the enumeration of the media in which cultural content actually appears historically. The cultural mass is copied piecemeal among a population of knowers. The mass may be enlarged by information technology by making it easier to access and transmit culture, but the artifacts and technology themselves do not count in the mass of the culture. Real, historical human nervous systems, including language expression,</w:t>
      </w:r>
    </w:p>
    <w:p>
      <w:pPr>
        <w:pStyle w:val="BodyText"/>
      </w:pPr>
      <w:r>
        <w:t xml:space="preserve">Dead cultures cannot live again because the dead part, the social part, is highly ephemeral. Even if a culture leaves material and symbolic artifacts, the</w:t>
      </w:r>
      <w:r>
        <w:t xml:space="preserve"> </w:t>
      </w:r>
      <w:r>
        <w:t xml:space="preserve">“</w:t>
      </w:r>
      <w:r>
        <w:t xml:space="preserve">dead</w:t>
      </w:r>
      <w:r>
        <w:t xml:space="preserve">”</w:t>
      </w:r>
      <w:r>
        <w:t xml:space="preserve"> </w:t>
      </w:r>
      <w:r>
        <w:t xml:space="preserve">parts are precisely those human relationships that would socialize new members in particular ways that cannot be deduced by people who never belonged to begin with, namely the archeologists of the future. Such archeologists belong to the FCP of their own time, and approach the historical artifacts of a dead culture as any other FCP approaches regular patterns in the world, as subject to their own particular cultural logics.</w:t>
      </w:r>
    </w:p>
    <w:p>
      <w:pPr>
        <w:pStyle w:val="BodyText"/>
      </w:pPr>
      <w:r>
        <w:t xml:space="preserve">Reproduction does not necessarily imply long term consistency of cultural content, indeed a high level of knowledge loss may be a sign of historical stability in an esoteric culture if it results from a highly productive FCP. An oversupply of cultural content increases the chances that some, any culture can be conveyed into the future in a chain of descent.</w:t>
      </w:r>
    </w:p>
    <w:p>
      <w:pPr>
        <w:pStyle w:val="BodyText"/>
      </w:pPr>
      <w:r>
        <w:t xml:space="preserve">Esoteric knowledge is essentially cryptic, ubiquituous knowledge essentially evident. Crypticism means that layity cannot acquire knowledge on their own, that is, without socially structured access to an FCP. Esotericism is the social consequence of crypticism. Cultures vary by knowledge features, as knowledge is a social axis of power along which status hierarchy necessarily develops. Knowledge asymmetry structures social relationships, usually leading to status inequality.</w:t>
      </w:r>
    </w:p>
    <w:p>
      <w:pPr>
        <w:pStyle w:val="BodyText"/>
      </w:pPr>
      <w:r>
        <w:t xml:space="preserve">High entropy cultures must socialize new and maintain existing members like any culture, but their complications also tend to be generative of novelty.</w:t>
      </w:r>
    </w:p>
    <w:p>
      <w:pPr>
        <w:pStyle w:val="BodyText"/>
      </w:pPr>
      <w:r>
        <w:t xml:space="preserve">The ubiquitous cultures will be learned because there is nothing in a society to do without knowing them, while esoteric ones are gauranteed to be forgotten by most, swapped easily for the always ready ubiquitous alternatives. Ubiquitous cultures have high ambient findability</w:t>
      </w:r>
      <w:r>
        <w:t xml:space="preserve"> </w:t>
      </w:r>
      <w:r>
        <w:t xml:space="preserve">(Morville</w:t>
      </w:r>
      <w:r>
        <w:t xml:space="preserve"> </w:t>
      </w:r>
      <w:hyperlink w:anchor="ref-Morville2009Ambient">
        <w:r>
          <w:rPr>
            <w:rStyle w:val="Hyperlink"/>
          </w:rPr>
          <w:t xml:space="preserve">2009</w:t>
        </w:r>
      </w:hyperlink>
      <w:r>
        <w:t xml:space="preserve">)</w:t>
      </w:r>
      <w:r>
        <w:t xml:space="preserve">, they can be transparently acquired for instance through mimicry</w:t>
      </w:r>
      <w:r>
        <w:t xml:space="preserve"> </w:t>
      </w:r>
      <w:r>
        <w:t xml:space="preserve">(DiMaggio and Powell</w:t>
      </w:r>
      <w:r>
        <w:t xml:space="preserve"> </w:t>
      </w:r>
      <w:hyperlink w:anchor="ref-DiMaggio1983Iron">
        <w:r>
          <w:rPr>
            <w:rStyle w:val="Hyperlink"/>
          </w:rPr>
          <w:t xml:space="preserve">1983</w:t>
        </w:r>
      </w:hyperlink>
      <w:r>
        <w:t xml:space="preserve">)</w:t>
      </w:r>
      <w:r>
        <w:t xml:space="preserve">.</w:t>
      </w:r>
    </w:p>
    <w:p>
      <w:pPr>
        <w:pStyle w:val="BodyText"/>
      </w:pPr>
      <w:r>
        <w:t xml:space="preserve">FCPs are social structures that can be thought of as the articulation points between people and a special type of culture that we associate with higher education.</w:t>
      </w:r>
    </w:p>
    <w:p>
      <w:pPr>
        <w:pStyle w:val="BodyText"/>
      </w:pPr>
      <w:r>
        <w:t xml:space="preserve">To be sure, if esoteric cultures are marked by asymmetries of knowledge between laity and clergy, to continue with the religious example, we must admit that such asymetries exist in ubiquitous culture as well, as in the supposed ignorance of a child against the learning of an adult. The ignorance of children combined with their megalomania is a useful example of how social structures operate. Social structures are always culturally conservative; a child’s ignorance is a generative force, as they may attempt to solve problems in novel ways, and their efforts will frequently be corrected by the experts. Whether the correction takes marks the chagrin of the parent. Children quickly become specialists in their own FCPs, but this is never because they aren’t also aware of the ubiquity. They may know it, it may bore them, and they efface it for fun. But they know what is ubiquitous; their proximity to ignorance of it may animate their creative abrogation of culture. The essentially conservative function of pedagogy will stamp out that creative flame in time. Indeed children are a great source of entropy for ubiquitous culture, hence the large investment in education generally.</w:t>
      </w:r>
    </w:p>
    <w:p>
      <w:pPr>
        <w:pStyle w:val="BodyText"/>
      </w:pPr>
      <w:r>
        <w:t xml:space="preserve">This evolutionary argument can be more simply stated as, complicated cultures cannot exist for very long without stewardship.</w:t>
      </w:r>
    </w:p>
    <w:p>
      <w:pPr>
        <w:pStyle w:val="Heading2"/>
      </w:pPr>
      <w:bookmarkStart w:id="52" w:name="Xe6e2354489a4d0f8ece1c96b929cc740021d175"/>
      <w:r>
        <w:t xml:space="preserve">Genre, Profession, and Cultural Morphodynamics</w:t>
      </w:r>
      <w:bookmarkEnd w:id="52"/>
    </w:p>
    <w:p>
      <w:pPr>
        <w:pStyle w:val="FirstParagraph"/>
      </w:pPr>
      <w:r>
        <w:t xml:space="preserve">Genre in sociology has been treated from literary, economic, and historical vantages.</w:t>
      </w:r>
    </w:p>
    <w:p>
      <w:pPr>
        <w:pStyle w:val="BodyText"/>
      </w:pPr>
      <w:r>
        <w:t xml:space="preserve">Economic sociology has treated genre as an integrating feature of markets, expressed simultaneously by both supply side and demand side actors</w:t>
      </w:r>
      <w:r>
        <w:t xml:space="preserve"> </w:t>
      </w:r>
      <w:r>
        <w:t xml:space="preserve">(DiMaggio</w:t>
      </w:r>
      <w:r>
        <w:t xml:space="preserve"> </w:t>
      </w:r>
      <w:hyperlink w:anchor="ref-DiMaggio1987Classification">
        <w:r>
          <w:rPr>
            <w:rStyle w:val="Hyperlink"/>
          </w:rPr>
          <w:t xml:space="preserve">1987</w:t>
        </w:r>
      </w:hyperlink>
      <w:r>
        <w:t xml:space="preserve">:441)</w:t>
      </w:r>
      <w:r>
        <w:t xml:space="preserve">. DiMaggio posits an oversocialized conception of artistic classification systems that sets genre as a matching between consumers on one hand and production, including producers and distributors, on the other. Consumption of art is essentially transacted for social goods, that is, is a form of cultural capital. Because cultural products are objects of ritual satisfaction among consumers, social relations are limited to intra-economic categories. This is the same as saying that social boundaries mark cultural boundaries. The meaning of cultural products to producers is very different than to consumers, there is no cultural logic that transcends social boundaries, that is, there is no</w:t>
      </w:r>
      <w:r>
        <w:t xml:space="preserve"> </w:t>
      </w:r>
      <w:r>
        <w:t xml:space="preserve">“</w:t>
      </w:r>
      <w:r>
        <w:t xml:space="preserve">cultural totality</w:t>
      </w:r>
      <w:r>
        <w:t xml:space="preserve">”</w:t>
      </w:r>
      <w:r>
        <w:t xml:space="preserve"> </w:t>
      </w:r>
      <w:r>
        <w:t xml:space="preserve">even at restricted scales.</w:t>
      </w:r>
    </w:p>
    <w:p>
      <w:pPr>
        <w:pStyle w:val="BodyText"/>
      </w:pPr>
      <w:r>
        <w:t xml:space="preserve">Whether this is an accurate depcitions of the arts, it is not adequate for direct adaption to the analysis of scholarly disciplines. The missing variable is the pedagogical nature of social relationships. In pedagogical relations assymetries of cultural understanding are built in to the role structure of social relationships.</w:t>
      </w:r>
    </w:p>
    <w:p>
      <w:pPr>
        <w:pStyle w:val="BodyText"/>
      </w:pPr>
      <w:r>
        <w:t xml:space="preserve">The professional relates to a client.</w:t>
      </w:r>
      <w:r>
        <w:t xml:space="preserve"> </w:t>
      </w:r>
      <w:r>
        <w:t xml:space="preserve">The administrator relates to a subject.</w:t>
      </w:r>
      <w:r>
        <w:t xml:space="preserve"> </w:t>
      </w:r>
      <w:r>
        <w:t xml:space="preserve">The purveyor relates to a customer.</w:t>
      </w:r>
    </w:p>
    <w:p>
      <w:pPr>
        <w:pStyle w:val="BodyText"/>
      </w:pPr>
      <w:r>
        <w:t xml:space="preserve">This may be an accurate</w:t>
      </w:r>
    </w:p>
    <w:p>
      <w:pPr>
        <w:pStyle w:val="BodyText"/>
      </w:pPr>
      <w:r>
        <w:t xml:space="preserve">DiMaggio discusses three organizational forms–commercial, professional, and administrative–as explaining gen</w:t>
      </w:r>
    </w:p>
    <w:p>
      <w:pPr>
        <w:pStyle w:val="Heading3"/>
      </w:pPr>
      <w:bookmarkStart w:id="53" w:name="generic-vs-typical"/>
      <w:r>
        <w:t xml:space="preserve">Generic vs Typical</w:t>
      </w:r>
      <w:bookmarkEnd w:id="53"/>
    </w:p>
    <w:p>
      <w:pPr>
        <w:pStyle w:val="FirstParagraph"/>
      </w:pPr>
      <w:r>
        <w:t xml:space="preserve">Following Schutz all cognition is process that begins by matching knowledge to experience via an intial process of typification. Empirical objects are categorized according to types, and our knowledge is also indexed according to those types. We know what to do once we have typed an object and matched it to type organized knowledge.</w:t>
      </w:r>
    </w:p>
    <w:p>
      <w:pPr>
        <w:pStyle w:val="BodyText"/>
      </w:pPr>
      <w:r>
        <w:t xml:space="preserve">Genres</w:t>
      </w:r>
    </w:p>
    <w:p>
      <w:pPr>
        <w:pStyle w:val="BodyText"/>
      </w:pPr>
      <w:r>
        <w:t xml:space="preserve">In non market societies, FCPs are financed by state patronage. Here esoteric cultures that have no need of a laity will be invisible to most of the members of the society, and their knowledge will be naturally excludable. Market societies organize</w:t>
      </w:r>
    </w:p>
    <w:p>
      <w:pPr>
        <w:pStyle w:val="BodyText"/>
      </w:pPr>
      <w:r>
        <w:t xml:space="preserve">Schutz (</w:t>
      </w:r>
      <w:hyperlink w:anchor="ref-Schutz1970Reflections">
        <w:r>
          <w:rPr>
            <w:rStyle w:val="Hyperlink"/>
          </w:rPr>
          <w:t xml:space="preserve">1970</w:t>
        </w:r>
      </w:hyperlink>
      <w:r>
        <w:t xml:space="preserve">)</w:t>
      </w:r>
    </w:p>
    <w:p>
      <w:pPr>
        <w:pStyle w:val="BodyText"/>
      </w:pPr>
      <w:r>
        <w:t xml:space="preserve">Beer</w:t>
      </w:r>
      <w:r>
        <w:t xml:space="preserve"> </w:t>
      </w:r>
      <w:r>
        <w:t xml:space="preserve">(</w:t>
      </w:r>
      <w:hyperlink w:anchor="ref-Beer2013Genre">
        <w:r>
          <w:rPr>
            <w:rStyle w:val="Hyperlink"/>
          </w:rPr>
          <w:t xml:space="preserve">2013</w:t>
        </w:r>
      </w:hyperlink>
      <w:r>
        <w:t xml:space="preserve">)</w:t>
      </w:r>
      <w:r>
        <w:t xml:space="preserve"> </w:t>
      </w:r>
      <w:r>
        <w:t xml:space="preserve">posits genre as a form of Foucaultian classification where a formal</w:t>
      </w:r>
      <w:r>
        <w:t xml:space="preserve"> </w:t>
      </w:r>
      <w:r>
        <w:t xml:space="preserve">“</w:t>
      </w:r>
      <w:r>
        <w:t xml:space="preserve">grid</w:t>
      </w:r>
      <w:r>
        <w:t xml:space="preserve">”</w:t>
      </w:r>
      <w:r>
        <w:t xml:space="preserve"> </w:t>
      </w:r>
      <w:r>
        <w:t xml:space="preserve">of knowledge structures observations while inviting subversive criticism. Missing in the use of Foucault is a sense of historical transition between types of knowledge. Scientific knowledge passed through stages limited by new concepts of order. The grid or classification logic was replaced by causal logic in a process spanning generations.</w:t>
      </w:r>
      <w:r>
        <w:t xml:space="preserve"> </w:t>
      </w:r>
      <w:r>
        <w:t xml:space="preserve">(Foucault</w:t>
      </w:r>
      <w:r>
        <w:t xml:space="preserve"> </w:t>
      </w:r>
      <w:hyperlink w:anchor="ref-Foucault2002order">
        <w:r>
          <w:rPr>
            <w:rStyle w:val="Hyperlink"/>
          </w:rPr>
          <w:t xml:space="preserve">2002</w:t>
        </w:r>
      </w:hyperlink>
      <w:r>
        <w:t xml:space="preserve">:150)</w:t>
      </w:r>
      <w:r>
        <w:t xml:space="preserve"> </w:t>
      </w:r>
      <w:r>
        <w:t xml:space="preserve">Reading Foucault as a developmental theory means that a classification logic provides the knowledge necessary to envision a causal logic. In this sense, a reified and possibly stitled genre classification system is generative of a more nuanced causal logic in that it provides an anchor and set of easily workable tacit arguments; sociology is different from anthroplogy because of a deployed catalogical schema. Beer however puts formal and informal genre systems into an ahistorical relation; formal genres are not generative of causal explanations of genre, but rather they are power structures against which interested actors struggle to either support or efface.</w:t>
      </w:r>
    </w:p>
    <w:p>
      <w:pPr>
        <w:pStyle w:val="BodyText"/>
      </w:pPr>
      <w:r>
        <w:t xml:space="preserve">Foucaultian genre requires a method of description, and the components of the method describe or order observations of the thing. Genres do not work this way except in a post-hoc way, as the recent controversy over the single Country Road illustrates. Genres in this sense actually work as a pre-classification Classical system, as pure language in which knowledge is knitted together by merely tracking down uses of the term. Genres amount to anyone’s use of the genres as terms. Genre criticsm operates in this mode; genres are leverged to inflrate deflate the reputation of particular social alters. Far from describing the characteristics of the music, genre as a term encompasses how the genres are used, such as in their influence on scene formations and fashion. These are primitive forms of knowledge if Foucault’s account of science is taken developmentally.</w:t>
      </w:r>
    </w:p>
    <w:p>
      <w:pPr>
        <w:pStyle w:val="BodyText"/>
      </w:pPr>
      <w:r>
        <w:t xml:space="preserve">Marxian structural development classically contends that stages of history cannot be skipped. Some theorists partially relax this model with a version of structural memory wherein a society that has undergone a transition into a particular stage of development, the resources genreating the relationsihps of the previous stages are already available. This is why development is slow first, but when the process has been played it may be replayed at much greater speed, and it may be played out of order. What is normally mapped to a process of time may in an advanced stage be mapped to different dimensions. The one we will be concered with is a status dimension. The classical form of knowledge, wherein it is stiched together piecemeal by focus on the language, the use of the term, leaving little coherence to the threads so collected, is simple and available always. The more structure classificaiton according to a rule-based grid is more advanced. Rather than being available only in time, after it’s invention, it may be aviaalbe as an asymmetry of training or socializaiton. Grid-knowledge may be utilized among the clerics and not available to the laity. At the core of the clerics, the elite of the esoterics, the most complicated stage of causal reasoning, is available to even fewer people. Boulding, in his own genre scheme, called the same the distinction between frameworks and clockworks</w:t>
      </w:r>
      <w:r>
        <w:t xml:space="preserve"> </w:t>
      </w:r>
      <w:r>
        <w:t xml:space="preserve">(Boulding</w:t>
      </w:r>
      <w:r>
        <w:t xml:space="preserve"> </w:t>
      </w:r>
      <w:hyperlink w:anchor="ref-Boulding1956General">
        <w:r>
          <w:rPr>
            <w:rStyle w:val="Hyperlink"/>
          </w:rPr>
          <w:t xml:space="preserve">1956</w:t>
        </w:r>
      </w:hyperlink>
      <w:r>
        <w:t xml:space="preserve">:202)</w:t>
      </w:r>
      <w:r>
        <w:t xml:space="preserve">.</w:t>
      </w:r>
    </w:p>
    <w:p>
      <w:pPr>
        <w:pStyle w:val="BodyText"/>
      </w:pPr>
      <w:r>
        <w:t xml:space="preserve">What this view allows us to ask is, for Beer’s emphasis on the critical use of genre categories, does it matter that the laity flirt with classical kinds of knowledge. Does it, as Beer suggests, work to reform the genre categories? Or on the other hand, to the institutions of formal categorization easily ignore such debates, or do they rather have aggreagtion systems of their own to handle</w:t>
      </w:r>
      <w:r>
        <w:t xml:space="preserve"> </w:t>
      </w:r>
      <w:r>
        <w:t xml:space="preserve">“</w:t>
      </w:r>
      <w:r>
        <w:t xml:space="preserve">deomcratic</w:t>
      </w:r>
      <w:r>
        <w:t xml:space="preserve">”</w:t>
      </w:r>
      <w:r>
        <w:t xml:space="preserve"> </w:t>
      </w:r>
      <w:r>
        <w:t xml:space="preserve">or market research processes like genre term searches?</w:t>
      </w:r>
    </w:p>
    <w:p>
      <w:pPr>
        <w:pStyle w:val="Heading2"/>
      </w:pPr>
      <w:bookmarkStart w:id="54" w:name="kd-dq1"/>
      <w:r>
        <w:t xml:space="preserve">JSTOR Journals</w:t>
      </w:r>
      <w:bookmarkEnd w:id="54"/>
    </w:p>
    <w:p>
      <w:pPr>
        <w:pStyle w:val="FirstParagraph"/>
      </w:pPr>
      <w:r>
        <w:t xml:space="preserve">Genre classifications are totalizing, as any factor or product in a field of production can be labeled and sorted according to a categorical logic.</w:t>
      </w:r>
    </w:p>
    <w:p>
      <w:pPr>
        <w:pStyle w:val="BodyText"/>
      </w:pPr>
      <w:r>
        <w:t xml:space="preserve">We rely on the JSTOR digital archive which gives access to optical scans of historical journals. JSTOR provides a title list of their journal coverage</w:t>
      </w:r>
      <w:r>
        <w:t xml:space="preserve"> </w:t>
      </w:r>
      <w:r>
        <w:t xml:space="preserve">(</w:t>
      </w:r>
      <w:r>
        <w:rPr>
          <w:b/>
        </w:rPr>
        <w:t xml:space="preserve">???</w:t>
      </w:r>
      <w:r>
        <w:t xml:space="preserve">)</w:t>
      </w:r>
      <w:r>
        <w:t xml:space="preserve">. The coverage of journals in the archive is very complete for those journals chosen for the database. As of this writing JSTOR contained 4,224 different journal titles and 2,738 journals from 1,147 different publishers. The different journal counts are due to some journals changing titles at least once.</w:t>
      </w:r>
      <w:r>
        <w:rPr>
          <w:rStyle w:val="FootnoteReference"/>
        </w:rPr>
        <w:footnoteReference w:id="55"/>
      </w:r>
      <w:r>
        <w:t xml:space="preserve"> </w:t>
      </w:r>
      <w:r>
        <w:t xml:space="preserve">The JSTOR coding contains 79 subject labels. These labels refer to eight superdisciplines under which may be found 71 disciplines.</w:t>
      </w:r>
    </w:p>
    <w:p>
      <w:pPr>
        <w:pStyle w:val="BodyText"/>
      </w:pPr>
      <w:r>
        <w:t xml:space="preserve">Most journals are given more than one discipline label, and the superdisciplines are not marked as such in the database creating some redundancy. For instance, a journal labeled as</w:t>
      </w:r>
      <w:r>
        <w:t xml:space="preserve"> </w:t>
      </w:r>
      <w:r>
        <w:t xml:space="preserve">“</w:t>
      </w:r>
      <w:r>
        <w:t xml:space="preserve">Sociology</w:t>
      </w:r>
      <w:r>
        <w:t xml:space="preserve">”</w:t>
      </w:r>
      <w:r>
        <w:t xml:space="preserve"> </w:t>
      </w:r>
      <w:r>
        <w:t xml:space="preserve">will also be labeled as</w:t>
      </w:r>
      <w:r>
        <w:t xml:space="preserve"> </w:t>
      </w:r>
      <w:r>
        <w:t xml:space="preserve">“</w:t>
      </w:r>
      <w:r>
        <w:t xml:space="preserve">Social Sciences</w:t>
      </w:r>
      <w:r>
        <w:t xml:space="preserve">”</w:t>
      </w:r>
      <w:r>
        <w:t xml:space="preserve">. Most academics will be familiar with whether a label is for a superdiscipline or a subdiscipline, yet for outsiders or for skeptical insiders, the only clue is in the frequency with which a label is applied. Counting labels, however, does not unambiguously place a journal in one discipline or another because journals may bear multiple labels, even multiple superdiscipline labels.</w:t>
      </w:r>
    </w:p>
    <w:p>
      <w:pPr>
        <w:pStyle w:val="BodyText"/>
      </w:pPr>
      <w:r>
        <w:t xml:space="preserve">To assess the size of the disciplines and to disentangle their hierarchies it will be helpful to have a mutually exclusive labeling scheme that draws on the JSTOR curators’ judgement while simplifying it.</w:t>
      </w:r>
    </w:p>
    <w:p>
      <w:pPr>
        <w:pStyle w:val="Heading2"/>
      </w:pPr>
      <w:bookmarkStart w:id="56" w:name="network-mode-projection"/>
      <w:r>
        <w:t xml:space="preserve">Network Mode Projection</w:t>
      </w:r>
      <w:bookmarkEnd w:id="56"/>
    </w:p>
    <w:p>
      <w:pPr>
        <w:pStyle w:val="FirstParagraph"/>
      </w:pPr>
      <w:r>
        <w:t xml:space="preserve">I rely on network methods to accomplish this labeling in a data driven and reproducible way. In a network representation of journal discipline labels, two journals may be said to be be related if they carry the same label. In network terms this can be represented as a bipartite or bimodal network. In a bimodal network there are two types (modes) of nodes, a journal and a label, and ties can only be registered between, not within, these modes. So journals are not tied directly to other journals and labels are not tied directly to other labels.</w:t>
      </w:r>
    </w:p>
    <w:p>
      <w:pPr>
        <w:pStyle w:val="BodyText"/>
      </w:pPr>
      <w:r>
        <w:t xml:space="preserve">Given any bimodal network, we may translate or project it into either of two unimodal forms. In a single mode or unimodal projection of a bimodal network there is only one type of node, in my case either a journal or a label, but not both. The omitted type is instead represented as a set of ties among the included type. Though the bimodal network is a more elegant represenation, it is technically necessary to project it into one of its two bimodal forms to leverage network methods that are desinged with unimodal data in mind.</w:t>
      </w:r>
    </w:p>
    <w:p>
      <w:pPr>
        <w:pStyle w:val="BodyText"/>
      </w:pPr>
      <w:r>
        <w:t xml:space="preserve">Using the list of subjects associated with each journal in the JSTOR title list, I construct the bimodal</w:t>
      </w:r>
      <w:r>
        <w:t xml:space="preserve"> </w:t>
      </w:r>
      <w:r>
        <w:rPr>
          <w:i/>
        </w:rPr>
        <w:t xml:space="preserve">journal-label</w:t>
      </w:r>
      <w:r>
        <w:t xml:space="preserve"> </w:t>
      </w:r>
      <w:r>
        <w:t xml:space="preserve">network with journals in the first mode bearing ties to discipline labels in the second mode. I then project the bimodal network into two unimodal networks, one where journals are connected by ties equal to the number of discipline labels they have in common, and another where labels are tied by the number of articles carrying both labels. Call each of these unimodal networks, the (</w:t>
      </w:r>
      <w:r>
        <w:rPr>
          <w:i/>
        </w:rPr>
        <w:t xml:space="preserve">journal-label-journal</w:t>
      </w:r>
      <w:r>
        <w:t xml:space="preserve">) journal network and (</w:t>
      </w:r>
      <w:r>
        <w:rPr>
          <w:i/>
        </w:rPr>
        <w:t xml:space="preserve">label-journal-label</w:t>
      </w:r>
      <w:r>
        <w:t xml:space="preserve">) label network, a facet of the original bimodal network.</w:t>
      </w:r>
    </w:p>
    <w:p>
      <w:pPr>
        <w:pStyle w:val="BodyText"/>
      </w:pPr>
      <w:r>
        <w:t xml:space="preserve">Figure</w:t>
      </w:r>
      <w:r>
        <w:t xml:space="preserve"> </w:t>
      </w:r>
      <w:r>
        <w:t xml:space="preserve">3</w:t>
      </w:r>
      <w:r>
        <w:t xml:space="preserve"> </w:t>
      </w:r>
      <w:r>
        <w:t xml:space="preserve">illustrates the effects of network mode projection on a random sample of 300 edges from the full JSTOR title list network. The first panel illustrates the bimodal network where journals are yellow dots and labels are blue dots. As an artifact of sampling, most journals here are shown tied to only one label. In fact this is never the case in the full network; as each journal has at least one discipline and one superdiscipline label the minimum number of labels is two, which is the median case accounting for 53.9 percent of journals. The most labels any journal bears is 10, but these are outliers with most journals bearing only a few labels.</w:t>
      </w:r>
    </w:p>
    <w:p>
      <w:pPr>
        <w:pStyle w:val="CaptionedFigure"/>
      </w:pPr>
      <w:r>
        <w:drawing>
          <wp:inline>
            <wp:extent cx="5334000" cy="2667000"/>
            <wp:effectExtent b="0" l="0" r="0" t="0"/>
            <wp:docPr descr="Figure 3 Mode Conversion on a 300 Edge Random Sample of the JSTOR Title List Label Network" title="" id="1" name="Picture"/>
            <a:graphic>
              <a:graphicData uri="http://schemas.openxmlformats.org/drawingml/2006/picture">
                <pic:pic>
                  <pic:nvPicPr>
                    <pic:cNvPr descr="ambrose_dissertation_files/figure-docx/mod-proj-1.png" id="0" name="Picture"/>
                    <pic:cNvPicPr>
                      <a:picLocks noChangeArrowheads="1" noChangeAspect="1"/>
                    </pic:cNvPicPr>
                  </pic:nvPicPr>
                  <pic:blipFill>
                    <a:blip r:embed="rId5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Mode Conversion on a 300 Edge Random Sample of the JSTOR Title List Label Network</w:t>
      </w:r>
    </w:p>
    <w:p>
      <w:pPr>
        <w:pStyle w:val="BodyText"/>
      </w:pPr>
      <w:r>
        <w:t xml:space="preserve">It is worth noting a few features of the unimodal projections or facets illustrated in the second and third palens. First, unimodal projections will always be made of up of overlapping cliques. Take the journal facet; each journal bearing a particular label will be tied to each other journal with the same label. Together they will form a clique, a subnetwork of maximum density where all possible ties exist. Such cliques grow nearly exponentially, as each additional journal with the same label joins the clique and adds a number of ties equal to the former size of the clique. In practice this means that very common labels like</w:t>
      </w:r>
      <w:r>
        <w:t xml:space="preserve"> </w:t>
      </w:r>
      <w:r>
        <w:t xml:space="preserve">“</w:t>
      </w:r>
      <w:r>
        <w:t xml:space="preserve">Social Sciences</w:t>
      </w:r>
      <w:r>
        <w:t xml:space="preserve">”</w:t>
      </w:r>
      <w:r>
        <w:t xml:space="preserve"> </w:t>
      </w:r>
      <w:r>
        <w:t xml:space="preserve">can easily dominate the unimodal projection of the network. Here the weighting of edges becomes important; if two labels overlap because some nodes bear both labels, then within the intersection of the two cliques the ties may be treated as</w:t>
      </w:r>
      <w:r>
        <w:t xml:space="preserve"> </w:t>
      </w:r>
      <w:r>
        <w:t xml:space="preserve">“</w:t>
      </w:r>
      <w:r>
        <w:t xml:space="preserve">weighing more</w:t>
      </w:r>
      <w:r>
        <w:t xml:space="preserve">”</w:t>
      </w:r>
      <w:r>
        <w:t xml:space="preserve"> </w:t>
      </w:r>
      <w:r>
        <w:t xml:space="preserve">by adding the contribution of each label separately. The exception is if the cliques overlap by only one node, in which case they have a node but no ties in common. Nevertheless using methods that take edge weights into account is a good way to ameliorate the exponential influence of popular labels.</w:t>
      </w:r>
    </w:p>
    <w:p>
      <w:pPr>
        <w:pStyle w:val="BodyText"/>
      </w:pPr>
      <w:r>
        <w:t xml:space="preserve">Second, though the unimodal facets of a bimodal network represent the same data, each may have different characteristics especially in the common case of a large population imbalance between modes. In the full network we have 35 times as many journals as labels and each journal sends multiple ties. This degree imbalance between the two modes may mean that one facet is more dense than its inverse. Density is the proportion of actual ties out of all possible ties. In Figure</w:t>
      </w:r>
      <w:r>
        <w:t xml:space="preserve"> </w:t>
      </w:r>
      <w:r>
        <w:t xml:space="preserve">3</w:t>
      </w:r>
      <w:r>
        <w:t xml:space="preserve"> </w:t>
      </w:r>
      <w:r>
        <w:t xml:space="preserve">an imbalance may be observed where the journal facet has many dense free floating or overlapping cliques and where the label network appears to be mostly made of isolated labels save for the few larger components. In the sampled network the journal facet is nine times more dense than the label facet. In the case of our full network, the potential imbalance in degree distribution between facets happens to be offset by the population imbalance itself. The densities in the full journal and label facets are comparable, 26.2 and 27.3 percent respectively, meaning that analysis will not merely hinge on which facet is analyzed.</w:t>
      </w:r>
    </w:p>
    <w:p>
      <w:pPr>
        <w:pStyle w:val="BodyText"/>
      </w:pPr>
      <w:r>
        <w:t xml:space="preserve">Third, unimodal projection has the effect of pruning what are sometimes referred to as pendants, which are simply nodes with only a single tie. . Each of the isolates in the label facet represents a larger or smaller number of journals, which may be observed in the different sizes of the free floating cliques of the journal facet, yet no matter their size they supply no information about interdisciplinarity. Because the journal facet captures both size (of cliques) and relatedness (clique overlap) it is a better representation of the information of the original bimodal network. Its drawback is that it is larger and more unwieldy to analyze. The label facet offers a simpler picture of interdisciplinarity.</w:t>
      </w:r>
    </w:p>
    <w:p>
      <w:pPr>
        <w:pStyle w:val="Heading2"/>
      </w:pPr>
      <w:bookmarkStart w:id="58" w:name="network-community-detection"/>
      <w:r>
        <w:t xml:space="preserve">Network Community Detection</w:t>
      </w:r>
      <w:bookmarkEnd w:id="58"/>
    </w:p>
    <w:p>
      <w:pPr>
        <w:pStyle w:val="FirstParagraph"/>
      </w:pPr>
      <w:r>
        <w:t xml:space="preserve">Each facet described above will help answer a different question about disciplinarity in the JSTOR archive as indicated by JSTOR’s labeling policy. I aim to resolve the uncertainty about which labels count as superdisciplines and to reveal patterns of sorting not apparent in the labels themselves. The rationale for doing this is to observe not the choices of JSTOR coders, but the tacit judgement they likely used in applying labels. I expect that the 79 fine grained labels bely a simpler classification scheme of academic genres.</w:t>
      </w:r>
    </w:p>
    <w:p>
      <w:pPr>
        <w:pStyle w:val="BodyText"/>
      </w:pPr>
      <w:r>
        <w:t xml:space="preserve">I will use two techniques, community detection and graph visualization, to answer these questions. Communities are really subnetworks of high density, or clusters. I operationalize disciplinarity as the presence of clusters within the journal facet network. Community detection on the journal facet will answer how many superdisciplines there are and the size of each in terms of the number of journals belonging to it. Visualization of the label facet will show how hard or soft are the boundaries between disciplines and where the strongest interdisciplinary relationships lay.</w:t>
      </w:r>
    </w:p>
    <w:p>
      <w:pPr>
        <w:pStyle w:val="BodyText"/>
      </w:pPr>
      <w:r>
        <w:t xml:space="preserve">First, I use community detection to partition the JSTOR journals into mutually exclusive disciplines. Community detection is a set of network methods designed to expose clusters by grouping nodes together such that they send more ties to members of their own group than they send to members of different groups. There is a cottage industry around developing algorithms and statistical models to learn an unobserved community structure of a network</w:t>
      </w:r>
      <w:r>
        <w:t xml:space="preserve"> </w:t>
      </w:r>
      <w:r>
        <w:t xml:space="preserve">(see</w:t>
      </w:r>
      <w:r>
        <w:t xml:space="preserve"> </w:t>
      </w:r>
      <w:r>
        <w:rPr>
          <w:b/>
        </w:rPr>
        <w:t xml:space="preserve">???</w:t>
      </w:r>
      <w:r>
        <w:t xml:space="preserve"> </w:t>
      </w:r>
      <w:r>
        <w:t xml:space="preserve">for an excellent review)</w:t>
      </w:r>
      <w:r>
        <w:t xml:space="preserve">. The choice of the right community detection method is controversial especially for very large networks in which cross-validation is difficult. Fortunately the network at hand is small enough to validate directly which lowers the risks of choosing the wrong method .</w:t>
      </w:r>
    </w:p>
    <w:p>
      <w:pPr>
        <w:pStyle w:val="BodyText"/>
      </w:pPr>
      <w:r>
        <w:t xml:space="preserve">To wit I adopt the well-known Louvain method of community detection based on hierarchical modularity maximization.</w:t>
      </w:r>
      <w:r>
        <w:t xml:space="preserve"> </w:t>
      </w:r>
      <w:r>
        <w:t xml:space="preserve">(</w:t>
      </w:r>
      <w:r>
        <w:rPr>
          <w:b/>
        </w:rPr>
        <w:t xml:space="preserve">???</w:t>
      </w:r>
      <w:r>
        <w:t xml:space="preserve">)</w:t>
      </w:r>
      <w:r>
        <w:t xml:space="preserve"> </w:t>
      </w:r>
      <w:r>
        <w:t xml:space="preserve">Modularity is a quality metric quantifying the tradeoff between within-group and between-group ties. The modularity of any given partition of a network into clusters is equal to the proportion of ties that fall within clusters minus the expected proportion of within-group ties if ties were distributed randomly. A division that is as good as chance would have a modularity value of zero, a division better than chance a value between zero and one, and a division worse than chance a value between negative one and zero.</w:t>
      </w:r>
      <w:r>
        <w:t xml:space="preserve"> </w:t>
      </w:r>
      <w:r>
        <w:t xml:space="preserve">(</w:t>
      </w:r>
      <w:r>
        <w:rPr>
          <w:b/>
        </w:rPr>
        <w:t xml:space="preserve">???</w:t>
      </w:r>
      <w:r>
        <w:t xml:space="preserve">)</w:t>
      </w:r>
      <w:r>
        <w:t xml:space="preserve"> </w:t>
      </w:r>
      <w:r>
        <w:t xml:space="preserve">Higher modularity scores indicate a better sorting of the network into densely tied clusters.</w:t>
      </w:r>
    </w:p>
    <w:p>
      <w:pPr>
        <w:pStyle w:val="BodyText"/>
      </w:pPr>
      <w:r>
        <w:t xml:space="preserve">The Louvain method is a bottom-up agglomerative algorithm. The procedure starts by assigning each node to its own community. Then, for each node, it assigns the node to the neighbor’s group that would most improve global modularity. It repeats this until no move improves modularity. This forms the first layer in the hierarchy. It then collapses groups into nodes and repeats the algorithm on the condensed network, stopping at the first level where there is no modularity improving move to make. The first layer represents the most local, the last layer the most global resolution of community structure.</w:t>
      </w:r>
    </w:p>
    <w:p>
      <w:pPr>
        <w:pStyle w:val="BodyText"/>
      </w:pPr>
      <w:r>
        <w:t xml:space="preserve">Modularity-based methods are tried and true, and their drawbacks are well-known. The Louvain method is not deterministic, as the outcome may (but usually does not) depend on the ordering of the nodes in the reassignment qeue. However Louvain has several features that recommend it. It is computationaly fast on small to medium graphs and it is freely available in network analysis software. It also gives a hierarchical solution that provides the analyst with options to inspect community structure at a range of local and global resolutions, akin to a cartography of counties versus one of continents. Given the small size of our network, a local resolution will not be overwhelming, so Louvain is preferable to other methods that only offer the coarser global view.</w:t>
      </w:r>
    </w:p>
    <w:p>
      <w:pPr>
        <w:pStyle w:val="BodyText"/>
      </w:pPr>
      <w:r>
        <w:t xml:space="preserve">Table</w:t>
      </w:r>
      <w:r>
        <w:t xml:space="preserve"> </w:t>
      </w:r>
      <w:r>
        <w:t xml:space="preserve">1</w:t>
      </w:r>
      <w:r>
        <w:t xml:space="preserve"> </w:t>
      </w:r>
      <w:r>
        <w:t xml:space="preserve">summarizes the results of applying the Louvain method to the journal facet and taking the most localized layer of the community structure. Learned labels are applied to the clusters by assigning each the name of its most frequent label. Community detection sharpens the boundaries between fields by placing each journal unambiguously in one superdiscipline or another. This mutual exclusivity is apparent by the sum of the given labels exceeding 100%.</w:t>
      </w:r>
    </w:p>
    <w:p>
      <w:pPr>
        <w:pStyle w:val="Compact"/>
      </w:pPr>
      <w:r>
        <w:t xml:space="preserve">(#tab:jclu-tab-sup)</w:t>
      </w:r>
      <w:r>
        <w:t xml:space="preserve">JSTOR Journal Counts</w:t>
      </w:r>
    </w:p>
    <w:p>
      <w:pPr>
        <w:pStyle w:val="Compact"/>
      </w:pPr>
      <w:r>
        <w:t xml:space="preserve">Superdiscipline</w:t>
      </w:r>
    </w:p>
    <w:p>
      <w:pPr>
        <w:pStyle w:val="Compact"/>
      </w:pPr>
      <w:r>
        <w:t xml:space="preserve">Learned</w:t>
      </w:r>
    </w:p>
    <w:p>
      <w:pPr>
        <w:pStyle w:val="Compact"/>
      </w:pPr>
      <w:r>
        <w:t xml:space="preserve">Pct</w:t>
      </w:r>
    </w:p>
    <w:p>
      <w:pPr>
        <w:pStyle w:val="Compact"/>
      </w:pPr>
      <w:r>
        <w:t xml:space="preserve">Given</w:t>
      </w:r>
    </w:p>
    <w:p>
      <w:pPr>
        <w:pStyle w:val="Compact"/>
      </w:pPr>
      <w:r>
        <w:t xml:space="preserve">GPct</w:t>
      </w:r>
    </w:p>
    <w:p>
      <w:pPr>
        <w:pStyle w:val="Compact"/>
      </w:pPr>
      <w:r>
        <w:t xml:space="preserve">Social Sciences</w:t>
      </w:r>
    </w:p>
    <w:p>
      <w:pPr>
        <w:pStyle w:val="Compact"/>
      </w:pPr>
      <w:r>
        <w:t xml:space="preserve">790</w:t>
      </w:r>
    </w:p>
    <w:p>
      <w:pPr>
        <w:pStyle w:val="Compact"/>
      </w:pPr>
      <w:r>
        <w:t xml:space="preserve">28.9</w:t>
      </w:r>
    </w:p>
    <w:p>
      <w:pPr>
        <w:pStyle w:val="Compact"/>
      </w:pPr>
      <w:r>
        <w:t xml:space="preserve">916</w:t>
      </w:r>
    </w:p>
    <w:p>
      <w:pPr>
        <w:pStyle w:val="Compact"/>
      </w:pPr>
      <w:r>
        <w:t xml:space="preserve">33.5</w:t>
      </w:r>
    </w:p>
    <w:p>
      <w:pPr>
        <w:pStyle w:val="Compact"/>
      </w:pPr>
      <w:r>
        <w:t xml:space="preserve">Humanities</w:t>
      </w:r>
    </w:p>
    <w:p>
      <w:pPr>
        <w:pStyle w:val="Compact"/>
      </w:pPr>
      <w:r>
        <w:t xml:space="preserve">664</w:t>
      </w:r>
    </w:p>
    <w:p>
      <w:pPr>
        <w:pStyle w:val="Compact"/>
      </w:pPr>
      <w:r>
        <w:t xml:space="preserve">24.3</w:t>
      </w:r>
    </w:p>
    <w:p>
      <w:pPr>
        <w:pStyle w:val="Compact"/>
      </w:pPr>
      <w:r>
        <w:t xml:space="preserve">719</w:t>
      </w:r>
    </w:p>
    <w:p>
      <w:pPr>
        <w:pStyle w:val="Compact"/>
      </w:pPr>
      <w:r>
        <w:t xml:space="preserve">26.3</w:t>
      </w:r>
    </w:p>
    <w:p>
      <w:pPr>
        <w:pStyle w:val="Compact"/>
      </w:pPr>
      <w:r>
        <w:t xml:space="preserve">Area Studies</w:t>
      </w:r>
    </w:p>
    <w:p>
      <w:pPr>
        <w:pStyle w:val="Compact"/>
      </w:pPr>
      <w:r>
        <w:t xml:space="preserve">357</w:t>
      </w:r>
    </w:p>
    <w:p>
      <w:pPr>
        <w:pStyle w:val="Compact"/>
      </w:pPr>
      <w:r>
        <w:t xml:space="preserve">13</w:t>
      </w:r>
    </w:p>
    <w:p>
      <w:pPr>
        <w:pStyle w:val="Compact"/>
      </w:pPr>
      <w:r>
        <w:t xml:space="preserve">499</w:t>
      </w:r>
    </w:p>
    <w:p>
      <w:pPr>
        <w:pStyle w:val="Compact"/>
      </w:pPr>
      <w:r>
        <w:t xml:space="preserve">18.2</w:t>
      </w:r>
    </w:p>
    <w:p>
      <w:pPr>
        <w:pStyle w:val="Compact"/>
      </w:pPr>
      <w:r>
        <w:t xml:space="preserve">Science &amp; Mathematics</w:t>
      </w:r>
    </w:p>
    <w:p>
      <w:pPr>
        <w:pStyle w:val="Compact"/>
      </w:pPr>
      <w:r>
        <w:t xml:space="preserve">307</w:t>
      </w:r>
    </w:p>
    <w:p>
      <w:pPr>
        <w:pStyle w:val="Compact"/>
      </w:pPr>
      <w:r>
        <w:t xml:space="preserve">11.2</w:t>
      </w:r>
    </w:p>
    <w:p>
      <w:pPr>
        <w:pStyle w:val="Compact"/>
      </w:pPr>
      <w:r>
        <w:t xml:space="preserve">360</w:t>
      </w:r>
    </w:p>
    <w:p>
      <w:pPr>
        <w:pStyle w:val="Compact"/>
      </w:pPr>
      <w:r>
        <w:t xml:space="preserve">13.1</w:t>
      </w:r>
    </w:p>
    <w:p>
      <w:pPr>
        <w:pStyle w:val="Compact"/>
      </w:pPr>
      <w:r>
        <w:t xml:space="preserve">Business &amp; Economics</w:t>
      </w:r>
    </w:p>
    <w:p>
      <w:pPr>
        <w:pStyle w:val="Compact"/>
      </w:pPr>
      <w:r>
        <w:t xml:space="preserve">266</w:t>
      </w:r>
    </w:p>
    <w:p>
      <w:pPr>
        <w:pStyle w:val="Compact"/>
      </w:pPr>
      <w:r>
        <w:t xml:space="preserve">9.7</w:t>
      </w:r>
    </w:p>
    <w:p>
      <w:pPr>
        <w:pStyle w:val="Compact"/>
      </w:pPr>
      <w:r>
        <w:t xml:space="preserve">285</w:t>
      </w:r>
    </w:p>
    <w:p>
      <w:pPr>
        <w:pStyle w:val="Compact"/>
      </w:pPr>
      <w:r>
        <w:t xml:space="preserve">10.4</w:t>
      </w:r>
    </w:p>
    <w:p>
      <w:pPr>
        <w:pStyle w:val="Compact"/>
      </w:pPr>
      <w:r>
        <w:t xml:space="preserve">Arts</w:t>
      </w:r>
    </w:p>
    <w:p>
      <w:pPr>
        <w:pStyle w:val="Compact"/>
      </w:pPr>
      <w:r>
        <w:t xml:space="preserve">240</w:t>
      </w:r>
    </w:p>
    <w:p>
      <w:pPr>
        <w:pStyle w:val="Compact"/>
      </w:pPr>
      <w:r>
        <w:t xml:space="preserve">8.8</w:t>
      </w:r>
    </w:p>
    <w:p>
      <w:pPr>
        <w:pStyle w:val="Compact"/>
      </w:pPr>
      <w:r>
        <w:t xml:space="preserve">293</w:t>
      </w:r>
    </w:p>
    <w:p>
      <w:pPr>
        <w:pStyle w:val="Compact"/>
      </w:pPr>
      <w:r>
        <w:t xml:space="preserve">10.7</w:t>
      </w:r>
    </w:p>
    <w:p>
      <w:pPr>
        <w:pStyle w:val="Compact"/>
      </w:pPr>
      <w:r>
        <w:t xml:space="preserve">Law</w:t>
      </w:r>
    </w:p>
    <w:p>
      <w:pPr>
        <w:pStyle w:val="Compact"/>
      </w:pPr>
      <w:r>
        <w:t xml:space="preserve">84</w:t>
      </w:r>
    </w:p>
    <w:p>
      <w:pPr>
        <w:pStyle w:val="Compact"/>
      </w:pPr>
      <w:r>
        <w:t xml:space="preserve">3.1</w:t>
      </w:r>
    </w:p>
    <w:p>
      <w:pPr>
        <w:pStyle w:val="Compact"/>
      </w:pPr>
      <w:r>
        <w:t xml:space="preserve">132</w:t>
      </w:r>
    </w:p>
    <w:p>
      <w:pPr>
        <w:pStyle w:val="Compact"/>
      </w:pPr>
      <w:r>
        <w:t xml:space="preserve">4.8</w:t>
      </w:r>
    </w:p>
    <w:p>
      <w:pPr>
        <w:pStyle w:val="Compact"/>
      </w:pPr>
      <w:r>
        <w:t xml:space="preserve">Medicine &amp; Allied Health</w:t>
      </w:r>
    </w:p>
    <w:p>
      <w:pPr>
        <w:pStyle w:val="Compact"/>
      </w:pPr>
      <w:r>
        <w:t xml:space="preserve">30</w:t>
      </w:r>
    </w:p>
    <w:p>
      <w:pPr>
        <w:pStyle w:val="Compact"/>
      </w:pPr>
      <w:r>
        <w:t xml:space="preserve">1.1</w:t>
      </w:r>
    </w:p>
    <w:p>
      <w:pPr>
        <w:pStyle w:val="Compact"/>
      </w:pPr>
      <w:r>
        <w:t xml:space="preserve">52</w:t>
      </w:r>
    </w:p>
    <w:p>
      <w:pPr>
        <w:pStyle w:val="Compact"/>
      </w:pPr>
      <w:r>
        <w:t xml:space="preserve">1.9</w:t>
      </w:r>
    </w:p>
    <w:p>
      <w:pPr>
        <w:pStyle w:val="Compact"/>
      </w:pPr>
      <w:r>
        <w:t xml:space="preserve">Total</w:t>
      </w:r>
    </w:p>
    <w:p>
      <w:pPr>
        <w:pStyle w:val="Compact"/>
      </w:pPr>
      <w:r>
        <w:t xml:space="preserve">2738</w:t>
      </w:r>
    </w:p>
    <w:p>
      <w:pPr>
        <w:pStyle w:val="Compact"/>
      </w:pPr>
      <w:r>
        <w:t xml:space="preserve">100.1</w:t>
      </w:r>
    </w:p>
    <w:p>
      <w:pPr>
        <w:pStyle w:val="Compact"/>
      </w:pPr>
      <w:r>
        <w:t xml:space="preserve">3256</w:t>
      </w:r>
    </w:p>
    <w:p>
      <w:pPr>
        <w:pStyle w:val="Compact"/>
      </w:pPr>
      <w:r>
        <w:t xml:space="preserve">118.9</w:t>
      </w:r>
    </w:p>
    <w:p>
      <w:pPr>
        <w:pStyle w:val="BodyText"/>
      </w:pPr>
      <w:r>
        <w:t xml:space="preserve">The first finding is that of the 79 labels these eight form the top of a hierarchy of superdisciplines. Area Studies stands apart and is not subsumed under either Social Sciences or Humanities. Social Sciences journals predominate due to JSTOR’s initial focus in that area, even without counting economics among them, and Science &amp; Mathematics counts for a larger than one might think. Economics stands apart from the Social Sciences, and indeed Business &amp; Economics marks the transition from the larger academic journal space to the smaller professional space of Arts, Law, and Medicine &amp; Allied Health.</w:t>
      </w:r>
    </w:p>
    <w:p>
      <w:pPr>
        <w:pStyle w:val="BodyText"/>
      </w:pPr>
      <w:r>
        <w:t xml:space="preserve">The given labels do overlap and we can recover a picture of interdisciplinary by clustering and visualizing the label facet. This facet presents a simplified view. Recall that each facet represents the same data, the difference being whether a journal or a label is represented as a node or an edge, and that there is a population imbalance in favor of journals over labels. The larger the population the easier it is to partition into a greater number of subpopulations. Converseley, because there are far fewer labels than journals, we would expect the clustering to be less granular for the label network than for the journal network. In fact there is only one less cluster–Law–which is subsumed under Social Sciences.</w:t>
      </w:r>
    </w:p>
    <w:p>
      <w:pPr>
        <w:pStyle w:val="Heading2"/>
      </w:pPr>
      <w:bookmarkStart w:id="59" w:name="network-visualization"/>
      <w:r>
        <w:t xml:space="preserve">Network Visualization</w:t>
      </w:r>
      <w:bookmarkEnd w:id="59"/>
    </w:p>
    <w:p>
      <w:pPr>
        <w:pStyle w:val="FirstParagraph"/>
      </w:pPr>
      <w:r>
        <w:t xml:space="preserve">Figure</w:t>
      </w:r>
      <w:r>
        <w:t xml:space="preserve"> </w:t>
      </w:r>
      <w:r>
        <w:t xml:space="preserve">4</w:t>
      </w:r>
      <w:r>
        <w:t xml:space="preserve"> </w:t>
      </w:r>
      <w:r>
        <w:t xml:space="preserve">visualizations the relationships among disciplines, where again the strength of ties is equal to the number of journals bearing both labels. Here the label with highest number of ties within its cluster becomes the category name of the cluster. That label is then ommitted as a node and is instead visualized as a color coding of its cluster, reflecting the special status of the superdiscipline labels.</w:t>
      </w:r>
    </w:p>
    <w:p>
      <w:pPr>
        <w:pStyle w:val="BodyText"/>
      </w:pPr>
      <w:r>
        <w:t xml:space="preserve">Unlike traditional graph visualizations that are designed to be pleasing to the eye, this one is drawn according to a statistical model called a latent position or latent space model. It starts with a simple idea that the weight of the edges (the number of journals carrying both labels) is a count that follows a Poisson distribution. This distribution may be modeled by log-linear regression where the logarithm of the mean of the distribution is a linear function of an intercept term and covariates. What is interesting about the model is that the covariate of interest is treated as the distance between the nodes in an unobserved or latent space. The distance is treated as negative such that as nodes get closer together (as the negative distance increases) the count of the edge weight between them increases (technically the logarithm of the mean of the count increases).</w:t>
      </w:r>
    </w:p>
    <w:p>
      <w:pPr>
        <w:pStyle w:val="BodyText"/>
      </w:pPr>
      <w:r>
        <w:t xml:space="preserve">It is an elegant idea, but estimating the model is complicated. The distances are metaphorical, and to realize them requires positing a euclidean space in which each node has coordinates. From the coordinates the distances can be easily caculated, but knowing which are the right coordinates requires a complicated estimation routine based on optimizing goodness of fit between guesses of the coordinates and the actual count data. The estimator begins with coordinates taken from the conventional Fruchterman Reingold layout algorithm and uses Markov Chain Monte Carlo simulation to converge toward the positions that optimally fit the latent space assumption</w:t>
      </w:r>
      <w:r>
        <w:t xml:space="preserve"> </w:t>
      </w:r>
      <w:r>
        <w:t xml:space="preserve">(See</w:t>
      </w:r>
      <w:r>
        <w:t xml:space="preserve"> </w:t>
      </w:r>
      <w:r>
        <w:rPr>
          <w:b/>
        </w:rPr>
        <w:t xml:space="preserve">???</w:t>
      </w:r>
      <w:r>
        <w:t xml:space="preserve"> </w:t>
      </w:r>
      <w:r>
        <w:t xml:space="preserve">for details of the model, estimation, and software)</w:t>
      </w:r>
      <w:r>
        <w:t xml:space="preserve">. Even if the estimator does not arrive at a perfect solution it improves upon a conventional layout in the direction of meaningful, and not just pretty, aesthetics thereby helping the viewer to avoid artifacts and perceive real information about the network.</w:t>
      </w:r>
    </w:p>
    <w:p>
      <w:pPr>
        <w:pStyle w:val="BodyText"/>
      </w:pPr>
      <w:r>
        <w:t xml:space="preserve">Another great feature of the latent space model is that it allows additional terms to be fit alongside the latent distances. It is possible to control for or net out the effect of nuisance terms like any other regression. As discussed above there is a concern about the undue effect of popular labels. We have already tried to remove the superdiscipline labels from the label network, preferring to represent them as color coded categories rather than nodes. Popular labels may still remain, however, and due to the exponential growth of ties during downmode conversion even a handful of them will have a disproportionate influence on the global layout of the graph.</w:t>
      </w:r>
    </w:p>
    <w:p>
      <w:pPr>
        <w:pStyle w:val="BodyText"/>
      </w:pPr>
      <w:r>
        <w:t xml:space="preserve">This degree distortion can be controlled for by what is called a sociality term, which can be thought of as a measure of a node’s popularity. A sociality term is a score for every node that if positive means a node is more attractive and if negative means a node is actually repulsive of ties. When viewing the positions of a latent space model also fit with a sociality term, the space will measure relatedness without the effects of popularity.</w:t>
      </w:r>
    </w:p>
    <w:p>
      <w:pPr>
        <w:pStyle w:val="BodyText"/>
      </w:pPr>
      <w:r>
        <w:t xml:space="preserve">Figure</w:t>
      </w:r>
      <w:r>
        <w:t xml:space="preserve"> </w:t>
      </w:r>
      <w:r>
        <w:t xml:space="preserve">4</w:t>
      </w:r>
      <w:r>
        <w:t xml:space="preserve"> </w:t>
      </w:r>
      <w:r>
        <w:t xml:space="preserve">plots the results of a latent space model on the label facet omitting superdiscipline nodes.</w:t>
      </w:r>
    </w:p>
    <w:p>
      <w:pPr>
        <w:pStyle w:val="CaptionedFigure"/>
      </w:pPr>
      <w:r>
        <w:drawing>
          <wp:inline>
            <wp:extent cx="5334000" cy="4267200"/>
            <wp:effectExtent b="0" l="0" r="0" t="0"/>
            <wp:docPr descr="Figure 4 Discipline Network in Latent Space. Node size represents sociality. The larger a node, the more attractive it is, and the larger a white dot within a node, the more repulsive it is." title="" id="1" name="Picture"/>
            <a:graphic>
              <a:graphicData uri="http://schemas.openxmlformats.org/drawingml/2006/picture">
                <pic:pic>
                  <pic:nvPicPr>
                    <pic:cNvPr descr="ambrose_dissertation_files/figure-docx/jclu-lnet-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Discipline Network in Latent Space. Node size represents sociality. The larger a node, the more attractive it is, and the larger a white dot within a node, the more repulsive it is.</w:t>
      </w:r>
    </w:p>
    <w:p>
      <w:pPr>
        <w:pStyle w:val="BodyText"/>
      </w:pPr>
      <w:r>
        <w:t xml:space="preserve">Here some of the granular categories are collapsed. The humanities includes arts, as we might expect, but also area studies, which one might have classed with the social sciences, but which bear stronger ties to cultural studies like music, folklore, religion, and language and literature. Law and medicine and allied health are grouped with the social sciences, and business and economics is maintained as separate field due merely to the attachment of three professional fields–development studies, management and organizational behavior, and marketing and advertising–to their parent disciplines business and economics (not to be confused with the separate and ommitted label</w:t>
      </w:r>
      <w:r>
        <w:t xml:space="preserve"> </w:t>
      </w:r>
      <w:r>
        <w:t xml:space="preserve">“</w:t>
      </w:r>
      <w:r>
        <w:t xml:space="preserve">business and economics</w:t>
      </w:r>
      <w:r>
        <w:t xml:space="preserve">”</w:t>
      </w:r>
      <w:r>
        <w:t xml:space="preserve">), which are themselves strongly tied to the social sciences.</w:t>
      </w:r>
    </w:p>
    <w:p>
      <w:pPr>
        <w:pStyle w:val="SourceCode"/>
      </w:pPr>
      <w:r>
        <w:rPr>
          <w:rStyle w:val="VerbatimChar"/>
        </w:rPr>
        <w:t xml:space="preserve">Setting the `off` event (i.e., 'plotly_doubleclick') to match the `on` event (i.e., 'plotly_click'). You can change this default via the `highlight()` function.</w:t>
      </w:r>
    </w:p>
    <w:p>
      <w:pPr>
        <w:pStyle w:val="CaptionedFigure"/>
      </w:pPr>
      <w:r>
        <w:drawing>
          <wp:inline>
            <wp:extent cx="5334000" cy="4267200"/>
            <wp:effectExtent b="0" l="0" r="0" t="0"/>
            <wp:docPr descr="Figure 5 Fruchterman Reingold and Latent Space Layouts Compared" title="" id="1" name="Picture"/>
            <a:graphic>
              <a:graphicData uri="http://schemas.openxmlformats.org/drawingml/2006/picture">
                <pic:pic>
                  <pic:nvPicPr>
                    <pic:cNvPr descr="ambrose_dissertation_files/figure-docx/layouts-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Fruchterman Reingold and Latent Space Layouts Compared</w:t>
      </w:r>
    </w:p>
    <w:p>
      <w:pPr>
        <w:pStyle w:val="BodyText"/>
      </w:pPr>
      <w:r>
        <w:t xml:space="preserve">Though graph layouts are imperfect and should not be overinterpreted, the global features of facing within clusters do indicate the disciplines that straddle boundaries. On the border between the social sciences and science and mathematics are the social sciences dealing most with the physical problems of space, health, and technology. On the edge of the humanities and social sciences are history, philosophy, and anthropology.</w:t>
      </w:r>
    </w:p>
    <w:p>
      <w:pPr>
        <w:pStyle w:val="Heading1"/>
      </w:pPr>
      <w:bookmarkStart w:id="62" w:name="cit"/>
      <w:r>
        <w:t xml:space="preserve">The Social Science Citation Landscape, 1900-1940</w:t>
      </w:r>
      <w:bookmarkEnd w:id="62"/>
    </w:p>
    <w:p>
      <w:pPr>
        <w:pStyle w:val="Heading4"/>
      </w:pPr>
      <w:bookmarkStart w:id="63" w:name="abstract-2"/>
      <w:r>
        <w:t xml:space="preserve">Abstract</w:t>
      </w:r>
      <w:bookmarkEnd w:id="63"/>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Heading4"/>
      </w:pPr>
      <w:bookmarkStart w:id="64" w:name="keywords-2"/>
      <w:r>
        <w:t xml:space="preserve">Keywords</w:t>
      </w:r>
      <w:bookmarkEnd w:id="64"/>
    </w:p>
    <w:p>
      <w:pPr>
        <w:pStyle w:val="FirstParagraph"/>
      </w:pPr>
      <w:r>
        <w:t xml:space="preserve">citations, k-clique communities, community detection, landscape</w:t>
      </w:r>
    </w:p>
    <w:p>
      <w:pPr>
        <w:pStyle w:val="Heading2"/>
      </w:pPr>
      <w:bookmarkStart w:id="65" w:name="introduction-1"/>
      <w:r>
        <w:t xml:space="preserve">Introduction</w:t>
      </w:r>
      <w:bookmarkEnd w:id="65"/>
    </w:p>
    <w:p>
      <w:pPr>
        <w:pStyle w:val="FirstParagraph"/>
      </w:pPr>
      <w:r>
        <w:t xml:space="preserve">If knowledge is power then scholar must be a powerful class. But what kind of power is knowledge and in what way do scholars wield it? Is knowledge powerful a utility, like water or electricity, to drive a tool and accomplish a task? Is it an asymmetry of information, like a stock tip or the combination to a safe, that gives one a leg up on her competition? Is knowledge like the power of an authority, like a governor, a military commander, or clergyman, to compel the loyalty and obedience of another person?</w:t>
      </w:r>
    </w:p>
    <w:p>
      <w:pPr>
        <w:pStyle w:val="BodyText"/>
      </w:pPr>
      <w:r>
        <w:t xml:space="preserve">How we conceive of knowledge affects how we view the nature and importance of the people and institutions that produce it. Scholars certainly do not have a monopoly on the utilization of production of knowledge in society, but their occupational roles are conditioned by the stuff of knowledge at the same time that knowledge is itself conditioned by the technology and social arrangements that constitute scholarly occupations.</w:t>
      </w:r>
    </w:p>
    <w:p>
      <w:pPr>
        <w:pStyle w:val="Heading3"/>
      </w:pPr>
      <w:bookmarkStart w:id="66" w:name="Xf61af20cabc0021a16601ae4546e6d08ea8b12d"/>
      <w:r>
        <w:t xml:space="preserve">Scholarly Communication vs Knowledge Terrain</w:t>
      </w:r>
      <w:bookmarkEnd w:id="66"/>
    </w:p>
    <w:p>
      <w:pPr>
        <w:pStyle w:val="FirstParagraph"/>
      </w:pPr>
      <w:r>
        <w:t xml:space="preserve">If the production of culture perspective were to argue against Marx’s German Ideology, it might say,</w:t>
      </w:r>
      <w:r>
        <w:t xml:space="preserve"> </w:t>
      </w:r>
      <w:r>
        <w:t xml:space="preserve">“</w:t>
      </w:r>
      <w:r>
        <w:t xml:space="preserve">Not all mental laborers have soft hands.</w:t>
      </w:r>
      <w:r>
        <w:t xml:space="preserve">”</w:t>
      </w:r>
      <w:r>
        <w:t xml:space="preserve"> </w:t>
      </w:r>
      <w:r>
        <w:t xml:space="preserve">Marx drew a course distinction between mental and material labor to demonstrate that the former is not possible without the latter, even when at the time mental labor had already been commidified with the advent of print media. The production of culture perspective simply effaces the distinction altogether; mental labor, or cultural products, are like any other industrialized commodity.</w:t>
      </w:r>
    </w:p>
    <w:p>
      <w:pPr>
        <w:pStyle w:val="BodyText"/>
      </w:pPr>
      <w:r>
        <w:t xml:space="preserve">The production of culture perspective is at odds with public sector economics that argues that non market mechanisms create value where markets fail to do so.</w:t>
      </w:r>
      <w:r>
        <w:t xml:space="preserve"> </w:t>
      </w:r>
      <w:r>
        <w:t xml:space="preserve">(Hayes</w:t>
      </w:r>
      <w:r>
        <w:t xml:space="preserve"> </w:t>
      </w:r>
      <w:hyperlink w:anchor="ref-Hayes2000Assessing">
        <w:r>
          <w:rPr>
            <w:rStyle w:val="Hyperlink"/>
          </w:rPr>
          <w:t xml:space="preserve">2000</w:t>
        </w:r>
      </w:hyperlink>
      <w:r>
        <w:t xml:space="preserve">)</w:t>
      </w:r>
    </w:p>
    <w:p>
      <w:pPr>
        <w:pStyle w:val="BodyText"/>
      </w:pPr>
      <w:r>
        <w:t xml:space="preserve">Remuneration</w:t>
      </w:r>
    </w:p>
    <w:p>
      <w:pPr>
        <w:pStyle w:val="BodyText"/>
      </w:pPr>
      <w:r>
        <w:t xml:space="preserve">Are culturally interior products</w:t>
      </w:r>
      <w:r>
        <w:t xml:space="preserve"> </w:t>
      </w:r>
      <w:r>
        <w:t xml:space="preserve"> </w:t>
      </w:r>
      <w:r>
        <w:t xml:space="preserve">referenced by socially superior</w:t>
      </w:r>
      <w:r>
        <w:t xml:space="preserve"> </w:t>
      </w:r>
      <w:r>
        <w:t xml:space="preserve"> </w:t>
      </w:r>
      <w:r>
        <w:t xml:space="preserve">producers?</w:t>
      </w:r>
    </w:p>
    <w:p>
      <w:pPr>
        <w:pStyle w:val="Heading3"/>
      </w:pPr>
      <w:bookmarkStart w:id="67" w:name="wok"/>
      <w:r>
        <w:t xml:space="preserve">Mapping Knowledge Terrain</w:t>
      </w:r>
      <w:bookmarkEnd w:id="67"/>
    </w:p>
    <w:p>
      <w:pPr>
        <w:pStyle w:val="Heading4"/>
      </w:pPr>
      <w:bookmarkStart w:id="68" w:name="knowledge-stuff"/>
      <w:r>
        <w:t xml:space="preserve">knowledge stuff</w:t>
      </w:r>
      <w:bookmarkEnd w:id="68"/>
    </w:p>
    <w:p>
      <w:pPr>
        <w:pStyle w:val="FirstParagraph"/>
      </w:pPr>
      <w:r>
        <w:t xml:space="preserve">There are two reasons to map knowledge spaces. First, we may want to know how knowledge develops as a resource unto itself. Second, we may want to exploit such a map for a productive purpose. Here we will attempt the second as prologue to the first. We will tackle the technical problems of constructing a map. We will show how a map can be put to use. Finally, we will investigate how the particular map we make may tend to predictably get us lost.</w:t>
      </w:r>
    </w:p>
    <w:p>
      <w:pPr>
        <w:pStyle w:val="BodyText"/>
      </w:pPr>
      <w:r>
        <w:t xml:space="preserve">All knowledge mapping requires first an ontological and then an analytical action. Ontological actions delineate the things that matter. They arbitrarily construct from perception the items that we then think about. While onotological decisions tend to define the scope of everything that may be learned from an investigation, they are often assumed rather than demonstrated. Actor Network Theory (ANT) provides a unique example of a method of research that, because it is ethnographic and thus marinating in an abundance of perception, allows the cast of ontic characters to grow. Literally anything can be deigned significant for inclusion in a web of knoweldge. In an ANT study of science, if the feel of a reading chair modifies a reader’s oreintation to a text they are reading, the chair counts.</w:t>
      </w:r>
    </w:p>
    <w:p>
      <w:pPr>
        <w:pStyle w:val="BodyText"/>
      </w:pPr>
      <w:r>
        <w:t xml:space="preserve">The lion’s share of knowledge mapping studies are not so ontologically radical as ANT. Take the field of bibliometrics. The ontological decision here is to take documents as the primary ontic. Documents are nothing but collections of glyphs, so the first task of bibliometricians tends to be to map glyphs to terms and analyze them. Here we have already used the ontic triad underlying bibliometrics. In the sentence</w:t>
      </w:r>
    </w:p>
    <w:p>
      <w:pPr>
        <w:pStyle w:val="BlockText"/>
      </w:pPr>
      <w:r>
        <w:t xml:space="preserve">“</w:t>
      </w:r>
      <w:r>
        <w:t xml:space="preserve">Go, dog, go!</w:t>
      </w:r>
      <w:r>
        <w:t xml:space="preserve">”</w:t>
      </w:r>
    </w:p>
    <w:p>
      <w:pPr>
        <w:pStyle w:val="FirstParagraph"/>
      </w:pPr>
      <w:r>
        <w:t xml:space="preserve">there are twelve discrete glyphs and two terms. A grammatical cutting rule renders the glyph sequences as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and a tokenization rule maps the cuts to two terms</w:t>
      </w:r>
    </w:p>
    <w:p>
      <w:pPr>
        <w:pStyle w:val="BlockText"/>
      </w:pPr>
      <w:r>
        <w:t xml:space="preserve">“</w:t>
      </w:r>
      <w:r>
        <w:t xml:space="preserve">go</w:t>
      </w:r>
      <w:r>
        <w:t xml:space="preserve">”</w:t>
      </w:r>
      <w:r>
        <w:t xml:space="preserve"> </w:t>
      </w:r>
      <w:r>
        <w:t xml:space="preserve">“</w:t>
      </w:r>
      <w:r>
        <w:t xml:space="preserve">dog</w:t>
      </w:r>
      <w:r>
        <w:t xml:space="preserve">”</w:t>
      </w:r>
      <w:r>
        <w:t xml:space="preserve"> </w:t>
      </w:r>
      <w:r>
        <w:t xml:space="preserve">“</w:t>
      </w:r>
      <w:r>
        <w:t xml:space="preserve">go</w:t>
      </w:r>
      <w:r>
        <w:t xml:space="preserve">”</w:t>
      </w:r>
    </w:p>
    <w:p>
      <w:pPr>
        <w:pStyle w:val="FirstParagraph"/>
      </w:pPr>
      <w:r>
        <w:t xml:space="preserve">which may in turn be analyzed, for instance by counting the tokens. The documents form the bins within and across which the terms will be analyzed. The token, as a mere operational step, is used and then dispensed with unless questions of measurement surface. Clearly the</w:t>
      </w:r>
      <w:r>
        <w:t xml:space="preserve"> </w:t>
      </w:r>
      <w:r>
        <w:rPr>
          <w:i/>
        </w:rPr>
        <w:t xml:space="preserve">glyph-term-document</w:t>
      </w:r>
      <w:r>
        <w:t xml:space="preserve"> </w:t>
      </w:r>
      <w:r>
        <w:t xml:space="preserve">(GTD) ontic does not care about the armchair of a reader of a document, and indeed does not even care about the reader herself.</w:t>
      </w:r>
      <w:r>
        <w:t xml:space="preserve"> </w:t>
      </w:r>
    </w:p>
    <w:p>
      <w:pPr>
        <w:pStyle w:val="BodyText"/>
      </w:pPr>
      <w:r>
        <w:t xml:space="preserve">So the reader is invisible because she is not inscribed in the document. What about the writer? Bibliometricians may backfill GTD by entity recognition or grounding. Once terms are recognized, we may further recognize that we know more about them. A simple example of this is pulling out</w:t>
      </w:r>
      <w:r>
        <w:t xml:space="preserve"> </w:t>
      </w:r>
      <w:r>
        <w:t xml:space="preserve">“</w:t>
      </w:r>
      <w:r>
        <w:t xml:space="preserve">metadata</w:t>
      </w:r>
      <w:r>
        <w:t xml:space="preserve">”</w:t>
      </w:r>
      <w:r>
        <w:t xml:space="preserve">, for instance, the author of a document. The author’s name is not just any term, but a conceptually very important one. Grounding is how bibliometrics may be linked to theories and programs of greater importance.</w:t>
      </w:r>
    </w:p>
    <w:p>
      <w:pPr>
        <w:pStyle w:val="BodyText"/>
      </w:pPr>
      <w:r>
        <w:t xml:space="preserve">Bibliometrics has indeed been based more on the reference of a text as a particular grounded entity rather than on the use of the full text of a document. If a text is a building, the reference is its address. More precise than a name, an address is a codification of different hierarchically ordered elements that describe the location of an entity. The consistent tokenization of a reference is not an easy task, as it depends on entity recognition of several different kinds of things, including year of publication, author, title, and source.</w:t>
      </w:r>
    </w:p>
    <w:p>
      <w:pPr>
        <w:pStyle w:val="BodyText"/>
      </w:pPr>
      <w:r>
        <w:t xml:space="preserve">The citation became the basis of the concept of a web of knowledge as coined in the work of Eugene Garfield and institutionalized in the Institute for Scientific Information (ISI).</w:t>
      </w:r>
    </w:p>
    <w:p>
      <w:pPr>
        <w:pStyle w:val="BodyText"/>
      </w:pPr>
      <w:r>
        <w:t xml:space="preserve">Citations solved the problem that ideas do not have signatures or addresses that we can trace reliably. Jargon is an attempt to give an idea a unique address as an idiosyncratic term, and etymology seeks to hierarchically order words according to their origins, but an idea per se will always elude precise identification. Unlike a document, an idea is not mechanically reproducible; it always requires interpretation and understanding in a mind, and a mental event as subtle as an idea cannot be observed.</w:t>
      </w:r>
    </w:p>
    <w:p>
      <w:pPr>
        <w:pStyle w:val="BodyText"/>
      </w:pPr>
      <w:r>
        <w:t xml:space="preserve">(Lederberg</w:t>
      </w:r>
      <w:r>
        <w:t xml:space="preserve"> </w:t>
      </w:r>
      <w:hyperlink w:anchor="ref-Lederberg2000How">
        <w:r>
          <w:rPr>
            <w:rStyle w:val="Hyperlink"/>
          </w:rPr>
          <w:t xml:space="preserve">2000</w:t>
        </w:r>
      </w:hyperlink>
      <w:r>
        <w:t xml:space="preserve">)</w:t>
      </w:r>
      <w:r>
        <w:t xml:space="preserve"> </w:t>
      </w:r>
      <w:r>
        <w:t xml:space="preserve">Garfield conflates citations with several roles in the network around ideas. Compares value of citations to value of subject coders, coding meaning of paragraphs intractable. ISI became a commercial pursuit because Garfield failed to get scientific institutions, especially the NSF, to fund it. The goal was primarily practical, to give researches access to current or historical references relevant to articles, perhaps especially their own, they knew they were already interested in.</w:t>
      </w:r>
    </w:p>
    <w:p>
      <w:pPr>
        <w:pStyle w:val="BodyText"/>
      </w:pPr>
      <w:r>
        <w:t xml:space="preserve">Unlike ideas, documents are physical artifacts and can be traced empirically. They are fungible, reproducible, and locatable with addresses.</w:t>
      </w:r>
    </w:p>
    <w:p>
      <w:pPr>
        <w:pStyle w:val="BodyText"/>
      </w:pPr>
      <w:r>
        <w:t xml:space="preserve">The reproduction and location of ideas cannot be reliably observed, and documents only contain ideas in a metaphorical sense, as a Leyden jar was once thought to contain electricity.</w:t>
      </w:r>
    </w:p>
    <w:p>
      <w:pPr>
        <w:pStyle w:val="BodyText"/>
      </w:pPr>
      <w:r>
        <w:t xml:space="preserve">Documents are the tangible and fungible currency with which scholars communicate about ideas, yet how knowledge is actually communicated via documents is not amenable to direct observation at scale. In bibliometrics they have served as a proxy for ideas.</w:t>
      </w:r>
    </w:p>
    <w:p>
      <w:pPr>
        <w:pStyle w:val="BodyText"/>
      </w:pPr>
      <w:r>
        <w:t xml:space="preserve">There have been two main orientations to mapping the web of knowledge, description and conscription. Description has either scientific aims, to underatand and explain the facts of knoweldge development, or practical aims, to locate and retrieve knowledge required for a particular purpose. Conscription on the other hand aims to mobilize bibliometric patterns of knowledge as measures of value in competitive markets, namely hiring, promotion, and awards within scholarly professions.</w:t>
      </w:r>
    </w:p>
    <w:p>
      <w:pPr>
        <w:pStyle w:val="BodyText"/>
      </w:pPr>
      <w:r>
        <w:t xml:space="preserve">There are several ways to digitally represent texts as knowledge.</w:t>
      </w:r>
    </w:p>
    <w:p>
      <w:pPr>
        <w:pStyle w:val="BodyText"/>
      </w:pPr>
      <w:r>
        <w:t xml:space="preserve">From an empirical perspective, texts are nothing but collections or bins of glyphs. The current paradigm is to render glyphs and recognize them as terms. Such terms may then be analyzed, for instance, by counting diction. Alternative paradigms are cropping up</w:t>
      </w:r>
    </w:p>
    <w:p>
      <w:pPr>
        <w:pStyle w:val="BodyText"/>
      </w:pPr>
      <w:r>
        <w:t xml:space="preserve">Second is entity recognition or grounding, where recognized terms are mapped to an existing database of structured knowledge.</w:t>
      </w:r>
    </w:p>
    <w:p>
      <w:pPr>
        <w:pStyle w:val="BodyText"/>
      </w:pPr>
      <w:r>
        <w:t xml:space="preserve">(</w:t>
      </w:r>
      <w:r>
        <w:rPr>
          <w:b/>
        </w:rPr>
        <w:t xml:space="preserve">???</w:t>
      </w:r>
      <w:r>
        <w:t xml:space="preserve">)</w:t>
      </w:r>
    </w:p>
    <w:p>
      <w:pPr>
        <w:pStyle w:val="Heading3"/>
      </w:pPr>
      <w:bookmarkStart w:id="69" w:name="X149e5b3b957ca88293814dc48bcf2d2e8d36b2a"/>
      <w:r>
        <w:t xml:space="preserve">Disciplines as a Large World Co-reference Network</w:t>
      </w:r>
      <w:bookmarkEnd w:id="69"/>
    </w:p>
    <w:p>
      <w:pPr>
        <w:pStyle w:val="FirstParagraph"/>
      </w:pPr>
      <w:r>
        <w:t xml:space="preserve">A large world network is not amenable to traditional visual representations due to its extreme density. Scholars often use edge filtering to reduce this density down to a manageable size for vizualization. Unfortunately this convenience function renders a large world as a small world and grossly misrepresents the true structure of the network. In the KCC representation, the network is partitioned into subnetworks of differential density. Nodes are included in a subnetwork if they are involved in ties at a given floor of density, for instance, they need to be tied to at least five other nodes. At a level of five, then, nodes involved in only four ties would be excluded. As this standard is raised, more nodes are excluded. This results in a nested set of subnetworks, where nodes included in a community at a lower threshold are excluded at a higher threshold. Subnetworks of lower density thresholds are always as big or larger than those at higher threshholds. Moreover, higher density subnetworks are always subsets of lower density communities, as their density meets and exceeds the standard for inclusion at the lower level. As one can imagine, inclusive levels are larger. As the threshold is raised subgroupings are sluffed off until reaching points of maximal density. In a world where almost everything is connected, there are no structural holes to reveal differences between subnetworks. Instead, we can view the structure as gradations in density within a very densely connected world.</w:t>
      </w:r>
    </w:p>
    <w:p>
      <w:pPr>
        <w:pStyle w:val="BodyText"/>
      </w:pPr>
      <w:r>
        <w:t xml:space="preserve">Nodes meeting the highest standards can be thought of as omnivorous; their ties draw them to the masses, but the masses are not sufficiently tied to the higher standard community. Where the gentry may be as comfortable at the movies as at the symphony, the layity lacks access to the more erudite circles.</w:t>
      </w:r>
    </w:p>
    <w:p>
      <w:pPr>
        <w:pStyle w:val="BodyText"/>
      </w:pPr>
      <w:r>
        <w:t xml:space="preserve">What is the credential that would allow a node to climb the hierarchy? One’s list of aqcuaintances must overlap by a certain amount (defined by the threshold) with the membership of the higher tier. Indeed their inclusion would change the credentials of everyone they are tied with, as anyone who was just under the standard would be tipped in based on their friend’s promotion.</w:t>
      </w:r>
    </w:p>
    <w:p>
      <w:pPr>
        <w:pStyle w:val="BodyText"/>
      </w:pPr>
      <w:r>
        <w:t xml:space="preserve">In the KCC model the references are the members of the hierarchy. Their association with each other is determined by how they are used by published authors. Authors who include two references on their bibliography tie those references together in the network. Indeed each citing article lays down a dense clique of references, and the impact of an article grows quadratically with the length of its reference list.</w:t>
      </w:r>
    </w:p>
    <w:p>
      <w:pPr>
        <w:pStyle w:val="Heading2"/>
      </w:pPr>
      <w:bookmarkStart w:id="70" w:name="methods"/>
      <w:r>
        <w:t xml:space="preserve">Methods</w:t>
      </w:r>
      <w:bookmarkEnd w:id="70"/>
    </w:p>
    <w:p>
      <w:pPr>
        <w:pStyle w:val="Heading2"/>
      </w:pPr>
      <w:bookmarkStart w:id="71" w:name="data-1"/>
      <w:r>
        <w:t xml:space="preserve">Data</w:t>
      </w:r>
      <w:bookmarkEnd w:id="71"/>
    </w:p>
    <w:p>
      <w:pPr>
        <w:pStyle w:val="Heading2"/>
      </w:pPr>
      <w:bookmarkStart w:id="72" w:name="results"/>
      <w:r>
        <w:t xml:space="preserve">Results</w:t>
      </w:r>
      <w:bookmarkEnd w:id="72"/>
    </w:p>
    <w:p>
      <w:pPr>
        <w:pStyle w:val="FirstParagraph"/>
      </w:pPr>
      <w:r>
        <w:t xml:space="preserve">The structure of a large world as revealed by KCC can be explored in a bottom-up and top-down fashion. Bottom-up observes 3-clique communities first. In the social science co-reference network.</w:t>
      </w:r>
    </w:p>
    <w:p>
      <w:pPr>
        <w:pStyle w:val="CaptionedFigure"/>
      </w:pPr>
      <w:r>
        <w:drawing>
          <wp:inline>
            <wp:extent cx="5334000" cy="4267200"/>
            <wp:effectExtent b="0" l="0" r="0" t="0"/>
            <wp:docPr descr="Figure 6 K-clique Community Structure (popout)" title="" id="1" name="Picture"/>
            <a:graphic>
              <a:graphicData uri="http://schemas.openxmlformats.org/drawingml/2006/picture">
                <pic:pic>
                  <pic:nvPicPr>
                    <pic:cNvPr descr="ambrose_dissertation_files/figure-docx/kcc2tree-1.png" id="0"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K-clique Community Structure (</w:t>
      </w:r>
      <w:hyperlink r:id="rId74">
        <w:r>
          <w:rPr>
            <w:rStyle w:val="Hyperlink"/>
          </w:rPr>
          <w:t xml:space="preserve">popout</w:t>
        </w:r>
      </w:hyperlink>
      <w:r>
        <w:t xml:space="preserve">)</w:t>
      </w:r>
    </w:p>
    <w:p>
      <w:pPr>
        <w:pStyle w:val="BodyText"/>
      </w:pPr>
      <w:r>
        <w:t xml:space="preserve">Figure</w:t>
      </w:r>
      <w:r>
        <w:t xml:space="preserve"> </w:t>
      </w:r>
      <w:r>
        <w:t xml:space="preserve">(fig:kcc2tree) shows a KCC model of the social sciences in the first half of the twentieth century.</w:t>
      </w:r>
    </w:p>
    <w:p>
      <w:pPr>
        <w:pStyle w:val="BodyText"/>
      </w:pPr>
      <w:r>
        <w:t xml:space="preserve">Disciplinarity and interdisciplinarity are revealed in a novel fashion in the KCC model. Disciplinarity is shown as a level of exclusion.</w:t>
      </w:r>
    </w:p>
    <w:p>
      <w:pPr>
        <w:pStyle w:val="Heading3"/>
      </w:pPr>
      <w:bookmarkStart w:id="75" w:name="continents"/>
      <w:r>
        <w:t xml:space="preserve">Continents</w:t>
      </w:r>
      <w:bookmarkEnd w:id="75"/>
    </w:p>
    <w:p>
      <w:pPr>
        <w:pStyle w:val="FirstParagraph"/>
      </w:pPr>
      <w:r>
        <w:t xml:space="preserve">The global map is made of many separate regions ranging in scale from large continents to small isles. These regions are either shawlowly connected or entirely separated from each other. The vast majority of these regions are</w:t>
      </w:r>
      <w:r>
        <w:t xml:space="preserve"> </w:t>
      </w:r>
      <w:r>
        <w:t xml:space="preserve">“</w:t>
      </w:r>
      <w:r>
        <w:t xml:space="preserve">flat isles</w:t>
      </w:r>
      <w:r>
        <w:t xml:space="preserve">”</w:t>
      </w:r>
      <w:r>
        <w:t xml:space="preserve"> </w:t>
      </w:r>
      <w:r>
        <w:t xml:space="preserve">with little to no internal structure of their own. Most flat isles are supported by only a single article, some by a couple of articles penned by the same author, and only a few represent real activity among a small group of different authors.</w:t>
      </w:r>
    </w:p>
    <w:p>
      <w:pPr>
        <w:pStyle w:val="CaptionedFigure"/>
      </w:pPr>
      <w:r>
        <w:drawing>
          <wp:inline>
            <wp:extent cx="5334000" cy="3429000"/>
            <wp:effectExtent b="0" l="0" r="0" t="0"/>
            <wp:docPr descr="Figure 7 Flat Isles, where Reviewers tend their Flock" title="" id="1" name="Picture"/>
            <a:graphic>
              <a:graphicData uri="http://schemas.openxmlformats.org/drawingml/2006/picture">
                <pic:pic>
                  <pic:nvPicPr>
                    <pic:cNvPr descr="img/flat-isle.png" id="0" name="Picture"/>
                    <pic:cNvPicPr>
                      <a:picLocks noChangeArrowheads="1" noChangeAspect="1"/>
                    </pic:cNvPicPr>
                  </pic:nvPicPr>
                  <pic:blipFill>
                    <a:blip r:embed="rId76"/>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7 Flat Isles, where Reviewers tend their Flock</w:t>
      </w:r>
    </w:p>
    <w:p>
      <w:pPr>
        <w:pStyle w:val="BodyText"/>
      </w:pPr>
      <w:r>
        <w:t xml:space="preserve">The most substantial flat isle</w:t>
      </w:r>
      <w:r>
        <w:t xml:space="preserve"> </w:t>
      </w:r>
      <w:r>
        <w:t xml:space="preserve">, the largest unenclosed and unenclosing circle in Figure</w:t>
      </w:r>
      <w:r>
        <w:t xml:space="preserve"> </w:t>
      </w:r>
      <w:r>
        <w:t xml:space="preserve">(fig:flat-isle), comes from four authors publishing in the same 1930</w:t>
      </w:r>
      <w:r>
        <w:t xml:space="preserve"> </w:t>
      </w:r>
      <w:hyperlink r:id="rId77">
        <w:r>
          <w:rPr>
            <w:rStyle w:val="Hyperlink"/>
          </w:rPr>
          <w:t xml:space="preserve">issue</w:t>
        </w:r>
      </w:hyperlink>
      <w:r>
        <w:t xml:space="preserve"> </w:t>
      </w:r>
      <w:r>
        <w:t xml:space="preserve">of</w:t>
      </w:r>
      <w:r>
        <w:t xml:space="preserve"> </w:t>
      </w:r>
      <w:r>
        <w:rPr>
          <w:i/>
        </w:rPr>
        <w:t xml:space="preserve">Zeitschrift Fur Nationalokonomie</w:t>
      </w:r>
      <w:r>
        <w:t xml:space="preserve">. It includes 50 references the most prominent of which are Angell’s 1926</w:t>
      </w:r>
      <w:r>
        <w:t xml:space="preserve"> </w:t>
      </w:r>
      <w:r>
        <w:rPr>
          <w:i/>
        </w:rPr>
        <w:t xml:space="preserve">The Theory of International Prices</w:t>
      </w:r>
      <w:r>
        <w:t xml:space="preserve"> </w:t>
      </w:r>
      <w:r>
        <w:t xml:space="preserve">and Tugwell’s 1924</w:t>
      </w:r>
      <w:r>
        <w:t xml:space="preserve"> </w:t>
      </w:r>
      <w:r>
        <w:rPr>
          <w:i/>
        </w:rPr>
        <w:t xml:space="preserve">The Trends of Economics</w:t>
      </w:r>
      <w:r>
        <w:t xml:space="preserve">. The structure of the group is provided entirely by an article by Robert Reisch</w:t>
      </w:r>
      <w:r>
        <w:t xml:space="preserve"> </w:t>
      </w:r>
      <w:r>
        <w:t xml:space="preserve">; the other three shared no references in common and Reisch’s article, titled</w:t>
      </w:r>
      <w:r>
        <w:t xml:space="preserve"> </w:t>
      </w:r>
      <w:r>
        <w:t xml:space="preserve">“</w:t>
      </w:r>
      <w:r>
        <w:t xml:space="preserve">The</w:t>
      </w:r>
      <w:r>
        <w:t xml:space="preserve"> </w:t>
      </w:r>
      <w:r>
        <w:t xml:space="preserve">‘</w:t>
      </w:r>
      <w:r>
        <w:t xml:space="preserve">Deposit</w:t>
      </w:r>
      <w:r>
        <w:t xml:space="preserve">’</w:t>
      </w:r>
      <w:r>
        <w:t xml:space="preserve">-Myth In Banking Theory</w:t>
      </w:r>
      <w:r>
        <w:t xml:space="preserve">”</w:t>
      </w:r>
      <w:r>
        <w:t xml:space="preserve"> </w:t>
      </w:r>
      <w:r>
        <w:t xml:space="preserve">and containing 108 references, is likely to have been written as an introduction to the journal on the basis of what had already been accepted for publication.</w:t>
      </w:r>
    </w:p>
    <w:p>
      <w:pPr>
        <w:pStyle w:val="BodyText"/>
      </w:pPr>
      <w:r>
        <w:t xml:space="preserve">Another flat isle of four articles has the exact same pattern, also from</w:t>
      </w:r>
      <w:r>
        <w:t xml:space="preserve"> </w:t>
      </w:r>
      <w:r>
        <w:rPr>
          <w:i/>
        </w:rPr>
        <w:t xml:space="preserve">Zeitschrift Fur Nationalokonomie</w:t>
      </w:r>
      <w:r>
        <w:t xml:space="preserve"> </w:t>
      </w:r>
      <w:r>
        <w:t xml:space="preserve">but from an</w:t>
      </w:r>
      <w:r>
        <w:t xml:space="preserve"> </w:t>
      </w:r>
      <w:hyperlink r:id="rId78">
        <w:r>
          <w:rPr>
            <w:rStyle w:val="Hyperlink"/>
          </w:rPr>
          <w:t xml:space="preserve">issue</w:t>
        </w:r>
      </w:hyperlink>
      <w:r>
        <w:t xml:space="preserve"> </w:t>
      </w:r>
      <w:r>
        <w:t xml:space="preserve">in 1937, the article on the first page of the issue, titled</w:t>
      </w:r>
      <w:r>
        <w:t xml:space="preserve"> </w:t>
      </w:r>
      <w:r>
        <w:t xml:space="preserve">“</w:t>
      </w:r>
      <w:r>
        <w:t xml:space="preserve">Theory Of Capital, Introduction</w:t>
      </w:r>
      <w:r>
        <w:t xml:space="preserve">”</w:t>
      </w:r>
      <w:r>
        <w:t xml:space="preserve"> </w:t>
      </w:r>
      <w:r>
        <w:t xml:space="preserve"> </w:t>
      </w:r>
      <w:r>
        <w:t xml:space="preserve">by von Hayek and containing 25 references, includes subsections of the bibliographies of three other articles that do not themselves overlap. Normally the longer a bibliography the more likely it is that an article functions as a review linking other disparate bibliographies. That von Hayek’s article has such a short bibliography and yet still links three otherwise separate articles confirms its derivative character.</w:t>
      </w:r>
    </w:p>
    <w:p>
      <w:pPr>
        <w:pStyle w:val="BodyText"/>
      </w:pPr>
      <w:r>
        <w:t xml:space="preserve">The following features then suggest when a flat isle represents an issue introduction. All articles are published in the same issue. The removal of the longest bibliography in the community yields a network of disconnected components each uniquely representing the remaining bibs. This longest bib is also either the first article in the issue or precedes the others in pagination. These characteristics suggest authorship internal to the editorial process itself. Later we will explore how the removal of such articles helps to reveal</w:t>
      </w:r>
      <w:r>
        <w:t xml:space="preserve"> </w:t>
      </w:r>
      <w:r>
        <w:t xml:space="preserve">“</w:t>
      </w:r>
      <w:r>
        <w:t xml:space="preserve">bottom-up</w:t>
      </w:r>
      <w:r>
        <w:t xml:space="preserve">”</w:t>
      </w:r>
      <w:r>
        <w:t xml:space="preserve"> </w:t>
      </w:r>
      <w:r>
        <w:t xml:space="preserve">structure by removing the editorial advantage of certain authors to bestow an ad hoc intellectual coherence on scholarship.</w:t>
      </w:r>
    </w:p>
    <w:p>
      <w:pPr>
        <w:pStyle w:val="BodyText"/>
      </w:pPr>
      <w:r>
        <w:t xml:space="preserve">Table</w:t>
      </w:r>
      <w:r>
        <w:t xml:space="preserve"> </w:t>
      </w:r>
      <w:r>
        <w:t xml:space="preserve">(tab:iss-int) enumerates issue introductions and shows how many are the structuring article in their community.</w:t>
      </w:r>
    </w:p>
    <w:p>
      <w:pPr>
        <w:pStyle w:val="CaptionedFigure"/>
      </w:pPr>
      <w:r>
        <w:drawing>
          <wp:inline>
            <wp:extent cx="5334000" cy="3429000"/>
            <wp:effectExtent b="0" l="0" r="0" t="0"/>
            <wp:docPr descr="Figure 8 Hill Isles, where the Wild Things Are" title="" id="1" name="Picture"/>
            <a:graphic>
              <a:graphicData uri="http://schemas.openxmlformats.org/drawingml/2006/picture">
                <pic:pic>
                  <pic:nvPicPr>
                    <pic:cNvPr descr="img/hill-isle.png" id="0" name="Picture"/>
                    <pic:cNvPicPr>
                      <a:picLocks noChangeArrowheads="1" noChangeAspect="1"/>
                    </pic:cNvPicPr>
                  </pic:nvPicPr>
                  <pic:blipFill>
                    <a:blip r:embed="rId79"/>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8 Hill Isles, where the Wild Things Are</w:t>
      </w:r>
    </w:p>
    <w:p>
      <w:pPr>
        <w:pStyle w:val="BodyText"/>
      </w:pPr>
      <w:r>
        <w:t xml:space="preserve">Reviews, whether they are self described as such, borrow directly from the bibliographies of one or more seed articles, and in this way they contribute a disproportionate amount of the global structure of the co-reference network. This kind of review, rather than looking again at an existing intellectual trend, creates the cohesion it purports to describe. Flat isles, especially if they are large, are flat due to the retrospection of a usually solitary reviewer. Compare this to</w:t>
      </w:r>
      <w:r>
        <w:t xml:space="preserve"> </w:t>
      </w:r>
      <w:r>
        <w:t xml:space="preserve">“</w:t>
      </w:r>
      <w:r>
        <w:t xml:space="preserve">hill isles</w:t>
      </w:r>
      <w:r>
        <w:t xml:space="preserve">”</w:t>
      </w:r>
      <w:r>
        <w:t xml:space="preserve"> </w:t>
      </w:r>
      <w:r>
        <w:t xml:space="preserve">with more internal structure growing out of the related but uncoordinated reference activity of authors.</w:t>
      </w:r>
    </w:p>
    <w:p>
      <w:pPr>
        <w:pStyle w:val="CaptionedFigure"/>
      </w:pPr>
      <w:r>
        <w:drawing>
          <wp:inline>
            <wp:extent cx="5334000" cy="4267200"/>
            <wp:effectExtent b="0" l="0" r="0" t="0"/>
            <wp:docPr descr="Figure 9 Hill Isle in Graph Layout" title="" id="1" name="Picture"/>
            <a:graphic>
              <a:graphicData uri="http://schemas.openxmlformats.org/drawingml/2006/picture">
                <pic:pic>
                  <pic:nvPicPr>
                    <pic:cNvPr descr="ambrose_dissertation_files/figure-docx/k3c1-22-1.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Hill Isle in Graph Layout</w:t>
      </w:r>
    </w:p>
    <w:p>
      <w:pPr>
        <w:pStyle w:val="Heading3"/>
      </w:pPr>
      <w:bookmarkStart w:id="81" w:name="peaks"/>
      <w:r>
        <w:t xml:space="preserve">Peaks</w:t>
      </w:r>
      <w:bookmarkEnd w:id="81"/>
    </w:p>
    <w:p>
      <w:pPr>
        <w:pStyle w:val="FirstParagraph"/>
      </w:pPr>
      <w:r>
        <w:t xml:space="preserve">The KCC model reveals</w:t>
      </w:r>
    </w:p>
    <w:p>
      <w:pPr>
        <w:pStyle w:val="Heading3"/>
      </w:pPr>
      <w:bookmarkStart w:id="82" w:name="valleys"/>
      <w:r>
        <w:t xml:space="preserve">Valleys</w:t>
      </w:r>
      <w:bookmarkEnd w:id="82"/>
    </w:p>
    <w:p>
      <w:pPr>
        <w:pStyle w:val="Heading3"/>
      </w:pPr>
      <w:bookmarkStart w:id="83" w:name="X21da6a0927de4cd993063a9db3281001f5ac2e7"/>
      <w:r>
        <w:t xml:space="preserve">Do reference lists describe author knowledge?</w:t>
      </w:r>
      <w:bookmarkEnd w:id="83"/>
    </w:p>
    <w:p>
      <w:pPr>
        <w:pStyle w:val="FirstParagraph"/>
      </w:pPr>
      <w:r>
        <w:t xml:space="preserve">The peer review process can now be thought of as a process of auditing credentials. An author makes an opening bid with the submission of a particular reference list. What this reference list implies about what the author knows is unclear. One may omit a knowledge signal because it is truthfully irrelevent or in a deceptive sin of ommission oriented to what they expect to be the expectations of editors and reviewers. One may also include what they do not know out of error, bragadoccio, carelessness, or fraud. Part of the work of reviewers will be to validate those claims to knowledge.</w:t>
      </w:r>
    </w:p>
    <w:p>
      <w:pPr>
        <w:pStyle w:val="Heading1"/>
      </w:pPr>
      <w:bookmarkStart w:id="84" w:name="voc"/>
      <w:r>
        <w:t xml:space="preserve">Vocabularies of Anthropology and Sociology, 1888-1922</w:t>
      </w:r>
      <w:bookmarkEnd w:id="84"/>
    </w:p>
    <w:p>
      <w:pPr>
        <w:pStyle w:val="Heading4"/>
      </w:pPr>
      <w:bookmarkStart w:id="85" w:name="abstract-3"/>
      <w:r>
        <w:t xml:space="preserve">Abstract</w:t>
      </w:r>
      <w:bookmarkEnd w:id="85"/>
    </w:p>
    <w:p>
      <w:pPr>
        <w:pStyle w:val="FirstParagraph"/>
      </w:pPr>
      <w:r>
        <w:t xml:space="preserve">Knowledge development of journals is measured as the change in topic prevalence over time.</w:t>
      </w:r>
    </w:p>
    <w:p>
      <w:pPr>
        <w:pStyle w:val="Heading4"/>
      </w:pPr>
      <w:bookmarkStart w:id="86" w:name="keywords-3"/>
      <w:r>
        <w:t xml:space="preserve">Keywords</w:t>
      </w:r>
      <w:bookmarkEnd w:id="86"/>
    </w:p>
    <w:p>
      <w:pPr>
        <w:pStyle w:val="FirstParagraph"/>
      </w:pPr>
      <w:r>
        <w:t xml:space="preserve">sociology of knowledge, topic modeling, history of social science</w:t>
      </w:r>
    </w:p>
    <w:p>
      <w:pPr>
        <w:pStyle w:val="Heading2"/>
      </w:pPr>
      <w:bookmarkStart w:id="87" w:name="kd"/>
      <w:r>
        <w:t xml:space="preserve">Knowledge Development</w:t>
      </w:r>
      <w:bookmarkEnd w:id="87"/>
    </w:p>
    <w:p>
      <w:pPr>
        <w:pStyle w:val="FirstParagraph"/>
      </w:pPr>
      <w:r>
        <w:t xml:space="preserve">What were the ideas that predominated in the social sciences at their formation as professions in the postbellum United States? What was the course of their development over a generation of scholarship? In this study I will answer these questions inductively through a reading of the original journals in each discipline. Though the goal is substantive, the methodological challenges of consuming a large quantity of text will feature importantly in the story that unfolds. Along the way I will demonstrate the usefulness of the computational</w:t>
      </w:r>
      <w:r>
        <w:t xml:space="preserve"> </w:t>
      </w:r>
      <w:r>
        <w:rPr>
          <w:i/>
        </w:rPr>
        <w:t xml:space="preserve">distant reading</w:t>
      </w:r>
      <w:r>
        <w:t xml:space="preserve"> </w:t>
      </w:r>
      <w:r>
        <w:t xml:space="preserve">that is being explored in the humanities and how it can be combined with traditional textual analysis for social science purposes. While controversial in humanistic circles that emphasize the primacy of the reader’s novel interpretive work when consuming text, distant reading fits comfortably within a social science epistemology that aims to achieve an objective description of intellectual history Indeed, computational methods offer a useful backstop to the idiosyncrasy of a particular person’s reading of history.</w:t>
      </w:r>
    </w:p>
    <w:p>
      <w:pPr>
        <w:pStyle w:val="BodyText"/>
      </w:pPr>
      <w:r>
        <w:t xml:space="preserve">Computational textual analysis promises to automate a particular slice of what hermeneutic methods accomplish. Hermeneutics claims that through historical methods it is possible to reconstruct the interpretive context of texts such that they can be understood in the same way that contemporary historical actors understood them. Establishing such context is a laudable yet arduous feat of historical research to uncover the social and intellectual milieu of a particular text. This is the gold standard approach, but one that restricts the field to specialists with the training and resources necessary for the undertaking.</w:t>
      </w:r>
    </w:p>
    <w:p>
      <w:pPr>
        <w:pStyle w:val="BodyText"/>
      </w:pPr>
      <w:r>
        <w:t xml:space="preserve">Computers cannot study history in this way. What they can do, however, is mine source material for limited kinds of contexts. The kind I am concerned with below are the</w:t>
      </w:r>
      <w:r>
        <w:t xml:space="preserve"> </w:t>
      </w:r>
      <w:r>
        <w:rPr>
          <w:i/>
        </w:rPr>
        <w:t xml:space="preserve">historical vocabularies</w:t>
      </w:r>
      <w:r>
        <w:t xml:space="preserve"> </w:t>
      </w:r>
      <w:r>
        <w:t xml:space="preserve">that writers used to construct texts in historical time. Vocabularies are glyphs without grammar; they do not mean anything, but nothing meaningful can be said without them in the present or in the past. They are the mediated form of language, and in communicating with each other historical actors leave traces that survive perfectly in time so long as texts themselves survive.</w:t>
      </w:r>
    </w:p>
    <w:p>
      <w:pPr>
        <w:pStyle w:val="BodyText"/>
      </w:pPr>
      <w:r>
        <w:t xml:space="preserve">While computers cannot read meaning in texts, and can barely recognize it, they are almost as good as humans at recognizing the glyphs of texts, and vocabularies are nothing but glyphs. What computers lack in smarts, they make up in speed and memory. The quantitative scale of their recognition makes for a qualitative shift because vocabularies can be enumerated across immense corpora of texts. Immense, at least, by human standards as there are limits to even computer memory and speed. Yet such enumeration of texts into objective historical categories; this is a profound resource for the intellectual historian. That one could begin a reading with such context would be a transformative research tool. Vocabulary enumeration, by which I mean simply the counting and classifying of texts according to the vocabularies they contain, invites a population studies approach to intellectual history. Where sense-making is driven by comparisons, a reader’s arbitrary combination of texts is guaranteed to lead to anachronism. But if we can know that texts are relevant to each other without knowing why, we have done some small amount of hermeneutic work by supplying texts as historically correct context to each other.</w:t>
      </w:r>
    </w:p>
    <w:p>
      <w:pPr>
        <w:pStyle w:val="BodyText"/>
      </w:pPr>
      <w:r>
        <w:t xml:space="preserve">And even going so far as abandoning the project of reading texts in a historically correct way, vocabulary enumeration can still lend objectivity to a novel construction, a productive anachronism, of textual meaning. Because vocabularies, the problems solved by computers, are mathematically, algorithmically, or stochastically determined, they may provide an immutable description of corpora that, like a map, enables individual and collective exploration within a common framework. Such maps may become the parameters of interpretive methods, which we may use to surface and control some of our subjectivity.</w:t>
      </w:r>
    </w:p>
    <w:p>
      <w:pPr>
        <w:pStyle w:val="BodyText"/>
      </w:pPr>
      <w:r>
        <w:t xml:space="preserve">This at least is the rationale for what follows. I begin with a discussion of intellectual history of two social sciences, anthropology and sociology, in the United States. I take a coarse view of national history as the history of wars because of their downstream effects on government activity and institutional investments. The first period is between the end of the American Revolution (1783) and the end of the American Civil War (1865) and is the national context for the origin of U.S. anthropology. The second period is after the Civil War until the end of World War I (1918) and is the context for the origin of U.S. sociology and of modern U.S. higher education generally. Wars of territorial expansion are waged regularly during both periods against native peoples and rival colonial empires, and social research was always recruited to solve attendant problems of population and to provide rationales for the relationships with and understandings of conquered or would-be conquered people.</w:t>
      </w:r>
    </w:p>
    <w:p>
      <w:pPr>
        <w:pStyle w:val="BodyText"/>
      </w:pPr>
      <w:r>
        <w:t xml:space="preserve">I use intellectual histories of anthropology to characterize the antebellum period, and the same for the postbellum period including sociology. The most important journals in each field date from the postbellum period, and the appearance of each is implicated in the project of professionalization for each discipline. The 1920s marked the end of war with the last of the militating American Indian tribes, and a reckoning with the darkest sides of industrialization laid bare by WWI. Social research had by this time completed a shift from colonial to industrial problems and enjoyed a golden decade of development as a profession, punctuated by the next great historical crisis in the Great Depression. With the 1920s begins the adolescence of social research, which is beyond the present scope. This study is of its childhood, which ends with the Great War. I however draw the study out until 1922 because it is the end of the public domain in U.S. copyright, to aid in the reproducibility of the analysis and so that all readers may recover the texts in question without difficulty.</w:t>
      </w:r>
    </w:p>
    <w:p>
      <w:pPr>
        <w:pStyle w:val="Heading2"/>
      </w:pPr>
      <w:bookmarkStart w:id="88" w:name="kd-dq2"/>
      <w:r>
        <w:t xml:space="preserve">Social Science Journals</w:t>
      </w:r>
      <w:bookmarkEnd w:id="88"/>
    </w:p>
    <w:p>
      <w:pPr>
        <w:pStyle w:val="FirstParagraph"/>
      </w:pPr>
      <w:r>
        <w:t xml:space="preserve">The journals within social science cover five different subdisciplines.</w:t>
      </w:r>
    </w:p>
    <w:p>
      <w:pPr>
        <w:pStyle w:val="Compact"/>
      </w:pPr>
      <w:r>
        <w:t xml:space="preserve">(#tab:jclu-tab-sub)</w:t>
      </w:r>
      <w:r>
        <w:t xml:space="preserve">JSTOR Social Sciences Journal Counts</w:t>
      </w:r>
    </w:p>
    <w:p>
      <w:pPr>
        <w:pStyle w:val="Compact"/>
      </w:pPr>
      <w:r>
        <w:t xml:space="preserve">Subdiscipline</w:t>
      </w:r>
    </w:p>
    <w:p>
      <w:pPr>
        <w:pStyle w:val="Compact"/>
      </w:pPr>
      <w:r>
        <w:t xml:space="preserve">N</w:t>
      </w:r>
    </w:p>
    <w:p>
      <w:pPr>
        <w:pStyle w:val="Compact"/>
      </w:pPr>
      <w:r>
        <w:t xml:space="preserve">Pct</w:t>
      </w:r>
    </w:p>
    <w:p>
      <w:pPr>
        <w:pStyle w:val="Compact"/>
      </w:pPr>
      <w:r>
        <w:t xml:space="preserve">Labeled</w:t>
      </w:r>
    </w:p>
    <w:p>
      <w:pPr>
        <w:pStyle w:val="Compact"/>
      </w:pPr>
      <w:r>
        <w:t xml:space="preserve">LPct</w:t>
      </w:r>
    </w:p>
    <w:p>
      <w:pPr>
        <w:pStyle w:val="Compact"/>
      </w:pPr>
      <w:r>
        <w:t xml:space="preserve">Archaeology</w:t>
      </w:r>
    </w:p>
    <w:p>
      <w:pPr>
        <w:pStyle w:val="Compact"/>
      </w:pPr>
      <w:r>
        <w:t xml:space="preserve">256</w:t>
      </w:r>
    </w:p>
    <w:p>
      <w:pPr>
        <w:pStyle w:val="Compact"/>
      </w:pPr>
      <w:r>
        <w:t xml:space="preserve">27.9</w:t>
      </w:r>
    </w:p>
    <w:p>
      <w:pPr>
        <w:pStyle w:val="Compact"/>
      </w:pPr>
      <w:r>
        <w:t xml:space="preserve">115</w:t>
      </w:r>
    </w:p>
    <w:p>
      <w:pPr>
        <w:pStyle w:val="Compact"/>
      </w:pPr>
      <w:r>
        <w:t xml:space="preserve">12.6</w:t>
      </w:r>
    </w:p>
    <w:p>
      <w:pPr>
        <w:pStyle w:val="Compact"/>
      </w:pPr>
      <w:r>
        <w:t xml:space="preserve">Political Science</w:t>
      </w:r>
    </w:p>
    <w:p>
      <w:pPr>
        <w:pStyle w:val="Compact"/>
      </w:pPr>
      <w:r>
        <w:t xml:space="preserve">219</w:t>
      </w:r>
    </w:p>
    <w:p>
      <w:pPr>
        <w:pStyle w:val="Compact"/>
      </w:pPr>
      <w:r>
        <w:t xml:space="preserve">23.9</w:t>
      </w:r>
    </w:p>
    <w:p>
      <w:pPr>
        <w:pStyle w:val="Compact"/>
      </w:pPr>
      <w:r>
        <w:t xml:space="preserve">183</w:t>
      </w:r>
    </w:p>
    <w:p>
      <w:pPr>
        <w:pStyle w:val="Compact"/>
      </w:pPr>
      <w:r>
        <w:t xml:space="preserve">20</w:t>
      </w:r>
    </w:p>
    <w:p>
      <w:pPr>
        <w:pStyle w:val="Compact"/>
      </w:pPr>
      <w:r>
        <w:t xml:space="preserve">Education</w:t>
      </w:r>
    </w:p>
    <w:p>
      <w:pPr>
        <w:pStyle w:val="Compact"/>
      </w:pPr>
      <w:r>
        <w:t xml:space="preserve">192</w:t>
      </w:r>
    </w:p>
    <w:p>
      <w:pPr>
        <w:pStyle w:val="Compact"/>
      </w:pPr>
      <w:r>
        <w:t xml:space="preserve">21</w:t>
      </w:r>
    </w:p>
    <w:p>
      <w:pPr>
        <w:pStyle w:val="Compact"/>
      </w:pPr>
      <w:r>
        <w:t xml:space="preserve">170</w:t>
      </w:r>
    </w:p>
    <w:p>
      <w:pPr>
        <w:pStyle w:val="Compact"/>
      </w:pPr>
      <w:r>
        <w:t xml:space="preserve">18.6</w:t>
      </w:r>
    </w:p>
    <w:p>
      <w:pPr>
        <w:pStyle w:val="Compact"/>
      </w:pPr>
      <w:r>
        <w:t xml:space="preserve">Sociology</w:t>
      </w:r>
    </w:p>
    <w:p>
      <w:pPr>
        <w:pStyle w:val="Compact"/>
      </w:pPr>
      <w:r>
        <w:t xml:space="preserve">160</w:t>
      </w:r>
    </w:p>
    <w:p>
      <w:pPr>
        <w:pStyle w:val="Compact"/>
      </w:pPr>
      <w:r>
        <w:t xml:space="preserve">17.5</w:t>
      </w:r>
    </w:p>
    <w:p>
      <w:pPr>
        <w:pStyle w:val="Compact"/>
      </w:pPr>
      <w:r>
        <w:t xml:space="preserve">145</w:t>
      </w:r>
    </w:p>
    <w:p>
      <w:pPr>
        <w:pStyle w:val="Compact"/>
      </w:pPr>
      <w:r>
        <w:t xml:space="preserve">15.8</w:t>
      </w:r>
    </w:p>
    <w:p>
      <w:pPr>
        <w:pStyle w:val="Compact"/>
      </w:pPr>
      <w:r>
        <w:t xml:space="preserve">Anthropology</w:t>
      </w:r>
    </w:p>
    <w:p>
      <w:pPr>
        <w:pStyle w:val="Compact"/>
      </w:pPr>
      <w:r>
        <w:t xml:space="preserve">46</w:t>
      </w:r>
    </w:p>
    <w:p>
      <w:pPr>
        <w:pStyle w:val="Compact"/>
      </w:pPr>
      <w:r>
        <w:t xml:space="preserve">5</w:t>
      </w:r>
    </w:p>
    <w:p>
      <w:pPr>
        <w:pStyle w:val="Compact"/>
      </w:pPr>
      <w:r>
        <w:t xml:space="preserve">89</w:t>
      </w:r>
    </w:p>
    <w:p>
      <w:pPr>
        <w:pStyle w:val="Compact"/>
      </w:pPr>
      <w:r>
        <w:t xml:space="preserve">9.7</w:t>
      </w:r>
    </w:p>
    <w:p>
      <w:pPr>
        <w:pStyle w:val="Compact"/>
      </w:pPr>
      <w:r>
        <w:t xml:space="preserve">Population Studies</w:t>
      </w:r>
    </w:p>
    <w:p>
      <w:pPr>
        <w:pStyle w:val="Compact"/>
      </w:pPr>
      <w:r>
        <w:t xml:space="preserve">22</w:t>
      </w:r>
    </w:p>
    <w:p>
      <w:pPr>
        <w:pStyle w:val="Compact"/>
      </w:pPr>
      <w:r>
        <w:t xml:space="preserve">2.4</w:t>
      </w:r>
    </w:p>
    <w:p>
      <w:pPr>
        <w:pStyle w:val="Compact"/>
      </w:pPr>
      <w:r>
        <w:t xml:space="preserve">27</w:t>
      </w:r>
    </w:p>
    <w:p>
      <w:pPr>
        <w:pStyle w:val="Compact"/>
      </w:pPr>
      <w:r>
        <w:t xml:space="preserve">2.9</w:t>
      </w:r>
    </w:p>
    <w:p>
      <w:pPr>
        <w:pStyle w:val="Compact"/>
      </w:pPr>
      <w:r>
        <w:t xml:space="preserve">Geography</w:t>
      </w:r>
    </w:p>
    <w:p>
      <w:pPr>
        <w:pStyle w:val="Compact"/>
      </w:pPr>
      <w:r>
        <w:t xml:space="preserve">18</w:t>
      </w:r>
    </w:p>
    <w:p>
      <w:pPr>
        <w:pStyle w:val="Compact"/>
      </w:pPr>
      <w:r>
        <w:t xml:space="preserve">2</w:t>
      </w:r>
    </w:p>
    <w:p>
      <w:pPr>
        <w:pStyle w:val="Compact"/>
      </w:pPr>
      <w:r>
        <w:t xml:space="preserve">32</w:t>
      </w:r>
    </w:p>
    <w:p>
      <w:pPr>
        <w:pStyle w:val="Compact"/>
      </w:pPr>
      <w:r>
        <w:t xml:space="preserve">3.5</w:t>
      </w:r>
    </w:p>
    <w:p>
      <w:pPr>
        <w:pStyle w:val="Compact"/>
      </w:pPr>
      <w:r>
        <w:t xml:space="preserve">Transportation Studies</w:t>
      </w:r>
    </w:p>
    <w:p>
      <w:pPr>
        <w:pStyle w:val="Compact"/>
      </w:pPr>
      <w:r>
        <w:t xml:space="preserve">3</w:t>
      </w:r>
    </w:p>
    <w:p>
      <w:pPr>
        <w:pStyle w:val="Compact"/>
      </w:pPr>
      <w:r>
        <w:t xml:space="preserve">0.3</w:t>
      </w:r>
    </w:p>
    <w:p>
      <w:pPr>
        <w:pStyle w:val="Compact"/>
      </w:pPr>
      <w:r>
        <w:t xml:space="preserve">7</w:t>
      </w:r>
    </w:p>
    <w:p>
      <w:pPr>
        <w:pStyle w:val="Compact"/>
      </w:pPr>
      <w:r>
        <w:t xml:space="preserve">0.8</w:t>
      </w:r>
    </w:p>
    <w:p>
      <w:pPr>
        <w:pStyle w:val="Compact"/>
      </w:pPr>
      <w:r>
        <w:t xml:space="preserve">Total</w:t>
      </w:r>
    </w:p>
    <w:p>
      <w:pPr>
        <w:pStyle w:val="Compact"/>
      </w:pPr>
      <w:r>
        <w:t xml:space="preserve">916</w:t>
      </w:r>
    </w:p>
    <w:p>
      <w:pPr>
        <w:pStyle w:val="Compact"/>
      </w:pPr>
      <w:r>
        <w:t xml:space="preserve">100</w:t>
      </w:r>
    </w:p>
    <w:p>
      <w:pPr>
        <w:pStyle w:val="Compact"/>
      </w:pPr>
      <w:r>
        <w:t xml:space="preserve">768</w:t>
      </w:r>
    </w:p>
    <w:p>
      <w:pPr>
        <w:pStyle w:val="Compact"/>
      </w:pPr>
      <w:r>
        <w:t xml:space="preserve">83.8</w:t>
      </w:r>
    </w:p>
    <w:p>
      <w:pPr>
        <w:pStyle w:val="CaptionedFigure"/>
      </w:pPr>
      <w:r>
        <w:drawing>
          <wp:inline>
            <wp:extent cx="5334000" cy="4267200"/>
            <wp:effectExtent b="0" l="0" r="0" t="0"/>
            <wp:docPr descr="Figure 10 Periods in the Growth of the Number of Social Science Journals in the JSTOR Archive" title="" id="1" name="Picture"/>
            <a:graphic>
              <a:graphicData uri="http://schemas.openxmlformats.org/drawingml/2006/picture">
                <pic:pic>
                  <pic:nvPicPr>
                    <pic:cNvPr descr="ambrose_dissertation_files/figure-docx/jstorm2fig-1.png" id="0"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Periods in the Growth of the Number of Social Science Journals in the JSTOR Archive</w:t>
      </w:r>
    </w:p>
    <w:p>
      <w:pPr>
        <w:pStyle w:val="CaptionedFigure"/>
      </w:pPr>
      <w:r>
        <w:drawing>
          <wp:inline>
            <wp:extent cx="5334000" cy="4267200"/>
            <wp:effectExtent b="0" l="0" r="0" t="0"/>
            <wp:docPr descr="Figure 11 Decennial growth in number of PhD degrees conferred in the U.S." title="" id="1" name="Picture"/>
            <a:graphic>
              <a:graphicData uri="http://schemas.openxmlformats.org/drawingml/2006/picture">
                <pic:pic>
                  <pic:nvPicPr>
                    <pic:cNvPr descr="ambrose_dissertation_files/figure-docx/nces2phd-1.png" id="0"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Decennial growth in number of PhD degrees conferred in the U.S.</w:t>
      </w:r>
    </w:p>
    <w:p>
      <w:pPr>
        <w:pStyle w:val="CaptionedFigure"/>
      </w:pPr>
      <w:r>
        <w:drawing>
          <wp:inline>
            <wp:extent cx="5334000" cy="4267200"/>
            <wp:effectExtent b="0" l="0" r="0" t="0"/>
            <wp:docPr descr="Figure 12 Number of PhDs conferred in the United States per Social Science Journal" title="" id="1" name="Picture"/>
            <a:graphic>
              <a:graphicData uri="http://schemas.openxmlformats.org/drawingml/2006/picture">
                <pic:pic>
                  <pic:nvPicPr>
                    <pic:cNvPr descr="ambrose_dissertation_files/figure-docx/nces/jstorm-1.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Number of PhDs conferred in the United States per Social Science Journal</w:t>
      </w:r>
    </w:p>
    <w:p>
      <w:pPr>
        <w:pStyle w:val="BodyText"/>
      </w:pPr>
      <w:r>
        <w:t xml:space="preserve">This period represents one of stable growth, as the size of the field grows with the number of players on it. Between 1888 and 1922 there tended to be about seven new PhDs in the U.S. for every social science journal even as each population grew year over year. These growth patterns begin to diverge around 1920 as a decades long acceleration of personnel begins, relatively slowly between 1920 and 1960 at an average acceleration rate of 22 PhDs per journal per year, and then quite precipitously in the 1960s at an average acceleration rate of 121.</w:t>
      </w:r>
    </w:p>
    <w:p>
      <w:pPr>
        <w:pStyle w:val="Heading2"/>
      </w:pPr>
      <w:bookmarkStart w:id="92" w:name="topics-ideas"/>
      <w:r>
        <w:t xml:space="preserve">Topics ≟ Ideas</w:t>
      </w:r>
      <w:bookmarkEnd w:id="92"/>
    </w:p>
    <w:p>
      <w:pPr>
        <w:pStyle w:val="FirstParagraph"/>
      </w:pPr>
      <w:r>
        <w:t xml:space="preserve">The strategy of the study occurs in four steps.</w:t>
      </w:r>
    </w:p>
    <w:p>
      <w:pPr>
        <w:pStyle w:val="Compact"/>
        <w:numPr>
          <w:numId w:val="1003"/>
          <w:ilvl w:val="0"/>
        </w:numPr>
      </w:pPr>
      <w:r>
        <w:t xml:space="preserve">Sort text into categories of similar vocabulary.</w:t>
      </w:r>
    </w:p>
    <w:p>
      <w:pPr>
        <w:pStyle w:val="Compact"/>
        <w:numPr>
          <w:numId w:val="1003"/>
          <w:ilvl w:val="0"/>
        </w:numPr>
      </w:pPr>
      <w:r>
        <w:t xml:space="preserve">Describe the vocabularies that define category membership.</w:t>
      </w:r>
    </w:p>
    <w:p>
      <w:pPr>
        <w:pStyle w:val="Compact"/>
        <w:numPr>
          <w:numId w:val="1003"/>
          <w:ilvl w:val="0"/>
        </w:numPr>
      </w:pPr>
      <w:r>
        <w:t xml:space="preserve">Describe vocabulary prevalence across time and discipline.</w:t>
      </w:r>
    </w:p>
    <w:p>
      <w:pPr>
        <w:pStyle w:val="Compact"/>
        <w:numPr>
          <w:numId w:val="1003"/>
          <w:ilvl w:val="0"/>
        </w:numPr>
      </w:pPr>
      <w:r>
        <w:t xml:space="preserve">Validate category contents by a traditional qualitative reading of texts.</w:t>
      </w:r>
    </w:p>
    <w:p>
      <w:pPr>
        <w:pStyle w:val="FirstParagraph"/>
      </w:pPr>
      <w:r>
        <w:t xml:space="preserve">I will spend considerable effort on solving the problem presented by step 1, as here everything depends on the computational methods employed. Steps 2 and 3 are straightforward given a successful mathematical model of texts. Step 4 is seldom attempted, and may be the hardest of all, because it is here that machine and human learning must be integrated. If I am successful, if through these steps I may operationalize the notion of cultural meaning or cultural logic as conformity to vocabularies, then I believe a new horizon of intellectual scholarship is possible. If on the other hand I find that machine-learned vocabularies do not correspond to human-learned understandings of the texts drawing on those vocabularies, then the discovery will be negative, that distant reading is not a scientific, historical, or hermeneutic method, but rather a toy at worst and a best new humanistic method of reading texts de novo.</w:t>
      </w:r>
    </w:p>
    <w:p>
      <w:pPr>
        <w:pStyle w:val="BodyText"/>
      </w:pPr>
      <w:r>
        <w:t xml:space="preserve">The mathematical tool I will rely on in step 1 is called topic modeling, which refers to a variety of computational approaches to text data that blur the distinction between qualitative and quantitative analysis. The topic model paints a lexicographic picture of texts, analogous to the demographic picture gained by a civil census survey of cities and towns. To a topic model, texts are merely collections of terms (usually words) that are counted to create the so-called</w:t>
      </w:r>
      <w:r>
        <w:t xml:space="preserve"> </w:t>
      </w:r>
      <w:r>
        <w:t xml:space="preserve">“</w:t>
      </w:r>
      <w:r>
        <w:t xml:space="preserve">bag of words</w:t>
      </w:r>
      <w:r>
        <w:t xml:space="preserve">”</w:t>
      </w:r>
      <w:r>
        <w:t xml:space="preserve"> </w:t>
      </w:r>
      <w:r>
        <w:t xml:space="preserve">description of a text. In the same way that a census reduces communities to counts of the names of people who live in them, topic modeling reduces texts to the frequency of word choices in texts, to their diction or vocabulary. Just as a census of people fails to capture the nuanced interactivity of human settlements found in their culture, politics, and economic activity, the topic model washes away the meanings and intentions behind the words that are enumerated.</w:t>
      </w:r>
    </w:p>
    <w:p>
      <w:pPr>
        <w:pStyle w:val="BodyText"/>
      </w:pPr>
      <w:r>
        <w:t xml:space="preserve">A population census would not be very helpful were it only a count of the names of respondents, and of course the really helpful data derive from the demographic and economic survey attached to the name. Text data do not usually come with such a collection of rich covariates, yet nevertheless topic models promise to discern helpful patterns from counts alone. The trick behind the estimation of a topic model is that it attempts to learn the demographic information (topics) without asking, by merely looking at how the names alone (terms) are distributed across geographies of interest (texts). If it can keep its promise, a topic model applied to census data might recover the cultural patterns latent in the distribution of names. It might, for instance, learn different groupings of names that in turn correspond to markers like age, race, national origin, or gender, so long as membership in those categories was related to geography. It might, for instance, successfully separate a category of Hmong names out from among the names of all people living in St. Paul because the non-Hmong names appeared in other regions where no Hmong names appeared.</w:t>
      </w:r>
    </w:p>
    <w:p>
      <w:pPr>
        <w:pStyle w:val="BodyText"/>
      </w:pPr>
      <w:r>
        <w:t xml:space="preserve">To call the category of names</w:t>
      </w:r>
      <w:r>
        <w:t xml:space="preserve"> </w:t>
      </w:r>
      <w:r>
        <w:t xml:space="preserve">“</w:t>
      </w:r>
      <w:r>
        <w:t xml:space="preserve">Hmong</w:t>
      </w:r>
      <w:r>
        <w:t xml:space="preserve">”</w:t>
      </w:r>
      <w:r>
        <w:t xml:space="preserve"> </w:t>
      </w:r>
      <w:r>
        <w:t xml:space="preserve">requires an interpretation of the model, which by itself is just lists of names. This is the work of step 2, and requires a little bit of shoe leather by trying to make sense of what a list of names refers to. Here reading texts is like a census taker knocking on a door, and a topic model’s latent analysis saves on this effort. Sometimes bringing domain knowledge to bear on the list itself will suggest a category label, but often choosing a small sample of texts as exemplars of the category. Still this requires much less shoe leather than a traditional qualitative analysis in which each text is studied directly. Of course the census is much more informative because it asks about demographic categories directly thereby avoiding the need for a latent analysis. In domains where rich covariates are not yet available or are prohibitively expensive to acquire, latent analysis provides promising clues of patterns that already exist. What is even more interesting, and something that might surprise even census analysts, is when latent categories do not correspond to known survey items. In either event the power of topic modeling for inductive analysis is to reveal structure in how names hang together that was hidden.</w:t>
      </w:r>
    </w:p>
    <w:p>
      <w:pPr>
        <w:pStyle w:val="BodyText"/>
      </w:pPr>
      <w:r>
        <w:t xml:space="preserve">Even without conducting the second labeling step, in step 3 it will already be possible from the output of the model to inspect the distribution of topics across available covariates, especially time. These are the patterns that will help validate the topic models against what is already known about intellectual history. For instance, the power of institutional and generational change may well be apparent in the historical distribution of topics. This step leads naturally into step 4 by suggesting anomalies that can only be explained by a closer look at the texts, the chore that the entire preceding analysis punts on. In step 4 we learn either that our understanding of history was wrong, or that our topic model was wrong, and there may be no method other than one’s judgement to decide.</w:t>
      </w:r>
    </w:p>
    <w:p>
      <w:pPr>
        <w:pStyle w:val="BodyText"/>
      </w:pPr>
      <w:r>
        <w:t xml:space="preserve">In the next section, before we delve into the statistical and computational nuances of topic models, I will spend some time developing a few themes to help organize the blending of quantitative and qualitative methods invited by topic modeling in particular and computational text analysis generally.</w:t>
      </w:r>
    </w:p>
    <w:p>
      <w:pPr>
        <w:pStyle w:val="Heading2"/>
      </w:pPr>
      <w:bookmarkStart w:id="93" w:name="kd-lit"/>
      <w:r>
        <w:t xml:space="preserve">Prior Work</w:t>
      </w:r>
      <w:bookmarkEnd w:id="93"/>
    </w:p>
    <w:p>
      <w:pPr>
        <w:pStyle w:val="Heading2"/>
      </w:pPr>
      <w:bookmarkStart w:id="94" w:name="information"/>
      <w:r>
        <w:t xml:space="preserve">Information</w:t>
      </w:r>
      <w:bookmarkEnd w:id="94"/>
    </w:p>
    <w:p>
      <w:pPr>
        <w:pStyle w:val="FirstParagraph"/>
      </w:pPr>
      <w:r>
        <w:t xml:space="preserve">Understanding differences in the ontological status of the</w:t>
      </w:r>
      <w:r>
        <w:t xml:space="preserve"> </w:t>
      </w:r>
      <w:r>
        <w:t xml:space="preserve">“</w:t>
      </w:r>
      <w:r>
        <w:t xml:space="preserve">topic</w:t>
      </w:r>
      <w:r>
        <w:t xml:space="preserve">”</w:t>
      </w:r>
      <w:r>
        <w:t xml:space="preserve"> </w:t>
      </w:r>
      <w:r>
        <w:t xml:space="preserve">concept is a good way to begin to understand how this method of analysis is used by researchers.</w:t>
      </w:r>
    </w:p>
    <w:p>
      <w:pPr>
        <w:pStyle w:val="BodyText"/>
      </w:pPr>
      <w:r>
        <w:t xml:space="preserve">Analysts have conceptualized the use of topic models in very different ways. Some researchers treat topics as useful for a particular purpose and not as true descriptions of real phenomena. Topics as information enhances the ability to search for relevant documents or statistical trends in otherwise unwieldy corpora as a time-saving alternative to manually reading large collections.</w:t>
      </w:r>
      <w:r>
        <w:t xml:space="preserve"> </w:t>
      </w:r>
      <w:r>
        <w:t xml:space="preserve">(</w:t>
      </w:r>
      <w:r>
        <w:rPr>
          <w:b/>
        </w:rPr>
        <w:t xml:space="preserve">???</w:t>
      </w:r>
      <w:r>
        <w:t xml:space="preserve">)</w:t>
      </w:r>
      <w:r>
        <w:t xml:space="preserve"> </w:t>
      </w:r>
      <w:r>
        <w:t xml:space="preserve">Empirical problems, used as demonstrations of statistical techniques, have included</w:t>
      </w:r>
    </w:p>
    <w:p>
      <w:pPr>
        <w:pStyle w:val="BodyText"/>
      </w:pPr>
      <w:r>
        <w:t xml:space="preserve">This is the</w:t>
      </w:r>
      <w:r>
        <w:t xml:space="preserve"> </w:t>
      </w:r>
      <w:r>
        <w:t xml:space="preserve">“</w:t>
      </w:r>
      <w:r>
        <w:t xml:space="preserve">needle and haystack</w:t>
      </w:r>
      <w:r>
        <w:t xml:space="preserve">”</w:t>
      </w:r>
      <w:r>
        <w:t xml:space="preserve"> </w:t>
      </w:r>
      <w:r>
        <w:t xml:space="preserve">approach favored by computer and information scientists who tend not to be interested in theoretical intepretations beyond the statistical definitions of topics.</w:t>
      </w:r>
    </w:p>
    <w:p>
      <w:pPr>
        <w:pStyle w:val="Heading2"/>
      </w:pPr>
      <w:bookmarkStart w:id="95" w:name="meaning"/>
      <w:r>
        <w:t xml:space="preserve">Meaning</w:t>
      </w:r>
      <w:bookmarkEnd w:id="95"/>
    </w:p>
    <w:p>
      <w:pPr>
        <w:pStyle w:val="FirstParagraph"/>
      </w:pPr>
      <w:r>
        <w:t xml:space="preserve">Other researchers instead grant topics ontological status, and these can be divided into three types. Most ambitiously, topics may be treated as representing categories of thought. Latent semantic structure</w:t>
      </w:r>
      <w:r>
        <w:t xml:space="preserve"> </w:t>
      </w:r>
      <w:r>
        <w:t xml:space="preserve">latent semantic structure</w:t>
      </w:r>
      <w:r>
        <w:t xml:space="preserve"> </w:t>
      </w:r>
      <w:r>
        <w:t xml:space="preserve">(</w:t>
      </w:r>
      <w:r>
        <w:rPr>
          <w:b/>
        </w:rPr>
        <w:t xml:space="preserve">???</w:t>
      </w:r>
      <w:r>
        <w:t xml:space="preserve">)</w:t>
      </w:r>
    </w:p>
    <w:p>
      <w:pPr>
        <w:pStyle w:val="Heading2"/>
      </w:pPr>
      <w:bookmarkStart w:id="96" w:name="communication"/>
      <w:r>
        <w:t xml:space="preserve">Communication</w:t>
      </w:r>
      <w:bookmarkEnd w:id="96"/>
    </w:p>
    <w:p>
      <w:pPr>
        <w:pStyle w:val="FirstParagraph"/>
      </w:pPr>
      <w:r>
        <w:t xml:space="preserve">representational style</w:t>
      </w:r>
      <w:r>
        <w:t xml:space="preserve"> </w:t>
      </w:r>
      <w:r>
        <w:t xml:space="preserve">(</w:t>
      </w:r>
      <w:r>
        <w:rPr>
          <w:b/>
        </w:rPr>
        <w:t xml:space="preserve">???</w:t>
      </w:r>
      <w:r>
        <w:t xml:space="preserve">)</w:t>
      </w:r>
      <w:r>
        <w:t xml:space="preserve"> </w:t>
      </w:r>
      <w:r>
        <w:t xml:space="preserve">frame</w:t>
      </w:r>
      <w:r>
        <w:t xml:space="preserve"> </w:t>
      </w:r>
      <w:r>
        <w:t xml:space="preserve">(</w:t>
      </w:r>
      <w:r>
        <w:rPr>
          <w:b/>
        </w:rPr>
        <w:t xml:space="preserve">???</w:t>
      </w:r>
      <w:r>
        <w:t xml:space="preserve">)</w:t>
      </w:r>
    </w:p>
    <w:p>
      <w:pPr>
        <w:pStyle w:val="Heading2"/>
      </w:pPr>
      <w:bookmarkStart w:id="97" w:name="full-text"/>
      <w:r>
        <w:t xml:space="preserve">Full-Text</w:t>
      </w:r>
      <w:bookmarkEnd w:id="97"/>
    </w:p>
    <w:p>
      <w:pPr>
        <w:pStyle w:val="FirstParagraph"/>
      </w:pPr>
      <w:r>
        <w:t xml:space="preserve">Computational text analysis requires that text corpora be transformed from a human to a machine readable format. Several efforts to digitize paper archives have made historical research designs possible, notably the Google Books project, HathiTrust, and ITHAKA JSTOR archive. Digital storage devices like the portable document format (PDF) have also enabled texts to be represented in both a digital version and as a reasonable facsimile of paper originals. Reasonable, we should say, for most sociological purposes, put not for other historical questions where materiality of culture is important.</w:t>
      </w:r>
      <w:r>
        <w:t xml:space="preserve"> </w:t>
      </w:r>
      <w:r>
        <w:t xml:space="preserve">(</w:t>
      </w:r>
      <w:r>
        <w:rPr>
          <w:b/>
        </w:rPr>
        <w:t xml:space="preserve">???</w:t>
      </w:r>
      <w:r>
        <w:t xml:space="preserve">)</w:t>
      </w:r>
    </w:p>
    <w:p>
      <w:pPr>
        <w:pStyle w:val="BodyText"/>
      </w:pPr>
      <w:r>
        <w:t xml:space="preserve">Digital archives make research into the production of culture difficult, precisely because they misrepresent several aspects of the means of production. Because researchers should be mindful that digitization of texts abstracts some qualities of texts and renders many others invisible. The importance of physical space and material qualities of libraries is illegible when working with digital archives, while the verbal content of texts is highlighted. We must keep in mind that we are not viewing what historical actors saw. Digital texts are almost perfectly fungible, while, variability in historical texts. We are liable, for instance, to underestimate the search costs to locate texts, and the fungibility of texts themselves.</w:t>
      </w:r>
    </w:p>
    <w:p>
      <w:pPr>
        <w:pStyle w:val="BodyText"/>
      </w:pPr>
      <w:r>
        <w:t xml:space="preserve">There are reasons, however, to believe that digital text archives provide not just a useful but an historically valid abstraction from the material texts. If we want to understand how an individual scholar understood a particular text, better to have her personal copy, margin notes and all. Yet how would that scholar have treated the text as a cultural item? She would abstract her own copy to a format credibly held in common, the more aniseptically clean version that we see in digital archives. These are the ghosts of the texts, so to speak, but they are what would be left when all idiosyncracies were removed, the version that one would assume colleagues thought of when declaring that text publically.</w:t>
      </w:r>
    </w:p>
    <w:p>
      <w:pPr>
        <w:pStyle w:val="BodyText"/>
      </w:pPr>
      <w:r>
        <w:t xml:space="preserve">This is by way of saying that the texts I compile below are not the same that were read by the historical actors under consideration. They are the texts that historical actors would assume their contemporaries were reading, that is, the sanitized, fungible, original published form of the text. By getting at these texts, we are getting at the real historical infrastructure for scholarly communication.</w:t>
      </w:r>
    </w:p>
    <w:p>
      <w:pPr>
        <w:pStyle w:val="BodyText"/>
      </w:pPr>
      <w:r>
        <w:t xml:space="preserve">The optical character recognition that computers require in order to store text digitally depends critically on the hard work of creating quality scans of journal archives. JSTOR has done a comendable job of this. Next we will describe what the JSTOR archive has to offer.</w:t>
      </w:r>
    </w:p>
    <w:p>
      <w:pPr>
        <w:pStyle w:val="Heading2"/>
      </w:pPr>
      <w:bookmarkStart w:id="98" w:name="kd-dd"/>
      <w:r>
        <w:t xml:space="preserve">Data</w:t>
      </w:r>
      <w:bookmarkEnd w:id="98"/>
    </w:p>
    <w:p>
      <w:pPr>
        <w:pStyle w:val="FirstParagraph"/>
      </w:pPr>
      <w:r>
        <w:t xml:space="preserve">Every record for every journal was downloaded manually, including front and back matter, articles, and book reviews.</w:t>
      </w:r>
    </w:p>
    <w:p>
      <w:pPr>
        <w:pStyle w:val="Heading2"/>
      </w:pPr>
      <w:bookmarkStart w:id="99" w:name="kd-dp1"/>
      <w:r>
        <w:t xml:space="preserve">Sampling</w:t>
      </w:r>
      <w:bookmarkEnd w:id="99"/>
    </w:p>
    <w:p>
      <w:pPr>
        <w:pStyle w:val="Compact"/>
      </w:pPr>
      <w:r>
        <w:t xml:space="preserve">(#tab:filt)</w:t>
      </w:r>
      <w:r>
        <w:t xml:space="preserve">Filtering due to Data Management</w:t>
      </w:r>
    </w:p>
    <w:p>
      <w:pPr>
        <w:pStyle w:val="Compact"/>
      </w:pPr>
      <w:r>
        <w:t xml:space="preserve">step</w:t>
      </w:r>
    </w:p>
    <w:p>
      <w:pPr>
        <w:pStyle w:val="Compact"/>
      </w:pPr>
      <w:r>
        <w:t xml:space="preserve">doc</w:t>
      </w:r>
    </w:p>
    <w:p>
      <w:pPr>
        <w:pStyle w:val="Compact"/>
      </w:pPr>
      <w:r>
        <w:t xml:space="preserve">pag</w:t>
      </w:r>
    </w:p>
    <w:p>
      <w:pPr>
        <w:pStyle w:val="Compact"/>
      </w:pPr>
      <w:r>
        <w:t xml:space="preserve">par</w:t>
      </w:r>
    </w:p>
    <w:p>
      <w:pPr>
        <w:pStyle w:val="Compact"/>
      </w:pPr>
      <w:r>
        <w:t xml:space="preserve">sen</w:t>
      </w:r>
    </w:p>
    <w:p>
      <w:pPr>
        <w:pStyle w:val="Compact"/>
      </w:pPr>
      <w:r>
        <w:t xml:space="preserve">tok</w:t>
      </w:r>
    </w:p>
    <w:p>
      <w:pPr>
        <w:pStyle w:val="Compact"/>
      </w:pPr>
      <w:r>
        <w:t xml:space="preserve">ter</w:t>
      </w:r>
    </w:p>
    <w:p>
      <w:pPr>
        <w:pStyle w:val="Compact"/>
      </w:pPr>
      <w:r>
        <w:t xml:space="preserve">lem</w:t>
      </w:r>
    </w:p>
    <w:p>
      <w:pPr>
        <w:pStyle w:val="Compact"/>
      </w:pPr>
      <w:r>
        <w:t xml:space="preserve">imported</w:t>
      </w:r>
    </w:p>
    <w:p>
      <w:pPr>
        <w:pStyle w:val="Compact"/>
      </w:pPr>
      <w:r>
        <w:t xml:space="preserve">100</w:t>
      </w:r>
    </w:p>
    <w:p>
      <w:pPr>
        <w:pStyle w:val="Compact"/>
      </w:pPr>
      <w:r>
        <w:t xml:space="preserve">100</w:t>
      </w:r>
    </w:p>
    <w:p>
      <w:pPr>
        <w:pStyle w:val="Compact"/>
      </w:pPr>
      <w:r>
        <w:t xml:space="preserve">100</w:t>
      </w:r>
    </w:p>
    <w:p>
      <w:pPr>
        <w:pStyle w:val="Compact"/>
      </w:pPr>
      <w:r>
        <w:t xml:space="preserve">cleaned</w:t>
      </w:r>
    </w:p>
    <w:p>
      <w:pPr>
        <w:pStyle w:val="Compact"/>
      </w:pPr>
      <w:r>
        <w:t xml:space="preserve">99.27</w:t>
      </w:r>
    </w:p>
    <w:p>
      <w:pPr>
        <w:pStyle w:val="Compact"/>
      </w:pPr>
      <w:r>
        <w:t xml:space="preserve">98.21</w:t>
      </w:r>
    </w:p>
    <w:p>
      <w:pPr>
        <w:pStyle w:val="Compact"/>
      </w:pPr>
      <w:r>
        <w:t xml:space="preserve">67.51</w:t>
      </w:r>
    </w:p>
    <w:p>
      <w:pPr>
        <w:pStyle w:val="Compact"/>
      </w:pPr>
      <w:r>
        <w:t xml:space="preserve">tokenized</w:t>
      </w:r>
    </w:p>
    <w:p>
      <w:pPr>
        <w:pStyle w:val="Compact"/>
      </w:pPr>
      <w:r>
        <w:t xml:space="preserve">99.27</w:t>
      </w:r>
    </w:p>
    <w:p>
      <w:pPr>
        <w:pStyle w:val="Compact"/>
      </w:pPr>
      <w:r>
        <w:t xml:space="preserve">98.21</w:t>
      </w:r>
    </w:p>
    <w:p>
      <w:pPr>
        <w:pStyle w:val="Compact"/>
      </w:pPr>
      <w:r>
        <w:t xml:space="preserve">67.51</w:t>
      </w:r>
    </w:p>
    <w:p>
      <w:pPr>
        <w:pStyle w:val="Compact"/>
      </w:pPr>
      <w:r>
        <w:t xml:space="preserve">100</w:t>
      </w:r>
    </w:p>
    <w:p>
      <w:pPr>
        <w:pStyle w:val="Compact"/>
      </w:pPr>
      <w:r>
        <w:t xml:space="preserve">100</w:t>
      </w:r>
    </w:p>
    <w:p>
      <w:pPr>
        <w:pStyle w:val="Compact"/>
      </w:pPr>
      <w:r>
        <w:t xml:space="preserve">100</w:t>
      </w:r>
    </w:p>
    <w:p>
      <w:pPr>
        <w:pStyle w:val="Compact"/>
      </w:pPr>
      <w:r>
        <w:t xml:space="preserve">preprocessed</w:t>
      </w:r>
    </w:p>
    <w:p>
      <w:pPr>
        <w:pStyle w:val="Compact"/>
      </w:pPr>
      <w:r>
        <w:t xml:space="preserve">99.27</w:t>
      </w:r>
    </w:p>
    <w:p>
      <w:pPr>
        <w:pStyle w:val="Compact"/>
      </w:pPr>
      <w:r>
        <w:t xml:space="preserve">98.01</w:t>
      </w:r>
    </w:p>
    <w:p>
      <w:pPr>
        <w:pStyle w:val="Compact"/>
      </w:pPr>
      <w:r>
        <w:t xml:space="preserve">67.35</w:t>
      </w:r>
    </w:p>
    <w:p>
      <w:pPr>
        <w:pStyle w:val="Compact"/>
      </w:pPr>
      <w:r>
        <w:t xml:space="preserve">91.38</w:t>
      </w:r>
    </w:p>
    <w:p>
      <w:pPr>
        <w:pStyle w:val="Compact"/>
      </w:pPr>
      <w:r>
        <w:t xml:space="preserve">42.21</w:t>
      </w:r>
    </w:p>
    <w:p>
      <w:pPr>
        <w:pStyle w:val="Compact"/>
      </w:pPr>
      <w:r>
        <w:t xml:space="preserve">35.74</w:t>
      </w:r>
    </w:p>
    <w:p>
      <w:pPr>
        <w:pStyle w:val="Compact"/>
      </w:pPr>
      <w:r>
        <w:t xml:space="preserve">100</w:t>
      </w:r>
    </w:p>
    <w:p>
      <w:pPr>
        <w:pStyle w:val="Compact"/>
      </w:pPr>
      <w:r>
        <w:t xml:space="preserve">sampled</w:t>
      </w:r>
    </w:p>
    <w:p>
      <w:pPr>
        <w:pStyle w:val="Compact"/>
      </w:pPr>
      <w:r>
        <w:t xml:space="preserve">1.84</w:t>
      </w:r>
    </w:p>
    <w:p>
      <w:pPr>
        <w:pStyle w:val="Compact"/>
      </w:pPr>
      <w:r>
        <w:t xml:space="preserve">1.56</w:t>
      </w:r>
    </w:p>
    <w:p>
      <w:pPr>
        <w:pStyle w:val="Compact"/>
      </w:pPr>
      <w:r>
        <w:t xml:space="preserve">1.17</w:t>
      </w:r>
    </w:p>
    <w:p>
      <w:pPr>
        <w:pStyle w:val="Compact"/>
      </w:pPr>
      <w:r>
        <w:t xml:space="preserve">1.43</w:t>
      </w:r>
    </w:p>
    <w:p>
      <w:pPr>
        <w:pStyle w:val="Compact"/>
      </w:pPr>
      <w:r>
        <w:t xml:space="preserve">0.62</w:t>
      </w:r>
    </w:p>
    <w:p>
      <w:pPr>
        <w:pStyle w:val="Compact"/>
      </w:pPr>
      <w:r>
        <w:t xml:space="preserve">4.95</w:t>
      </w:r>
    </w:p>
    <w:p>
      <w:pPr>
        <w:pStyle w:val="Compact"/>
      </w:pPr>
      <w:r>
        <w:t xml:space="preserve">20.86</w:t>
      </w:r>
    </w:p>
    <w:p>
      <w:pPr>
        <w:pStyle w:val="Compact"/>
      </w:pPr>
      <w:r>
        <w:t xml:space="preserve">100%</w:t>
      </w:r>
    </w:p>
    <w:p>
      <w:pPr>
        <w:pStyle w:val="Compact"/>
      </w:pPr>
      <w:r>
        <w:t xml:space="preserve">5444</w:t>
      </w:r>
    </w:p>
    <w:p>
      <w:pPr>
        <w:pStyle w:val="Compact"/>
      </w:pPr>
      <w:r>
        <w:t xml:space="preserve">47596</w:t>
      </w:r>
    </w:p>
    <w:p>
      <w:pPr>
        <w:pStyle w:val="Compact"/>
      </w:pPr>
      <w:r>
        <w:t xml:space="preserve">232085</w:t>
      </w:r>
    </w:p>
    <w:p>
      <w:pPr>
        <w:pStyle w:val="Compact"/>
      </w:pPr>
      <w:r>
        <w:t xml:space="preserve">818183</w:t>
      </w:r>
    </w:p>
    <w:p>
      <w:pPr>
        <w:pStyle w:val="Compact"/>
      </w:pPr>
      <w:r>
        <w:t xml:space="preserve">19983852</w:t>
      </w:r>
    </w:p>
    <w:p>
      <w:pPr>
        <w:pStyle w:val="Compact"/>
      </w:pPr>
      <w:r>
        <w:t xml:space="preserve">326889</w:t>
      </w:r>
    </w:p>
    <w:p>
      <w:pPr>
        <w:pStyle w:val="Compact"/>
      </w:pPr>
      <w:r>
        <w:t xml:space="preserve">31963</w:t>
      </w:r>
    </w:p>
    <w:p>
      <w:pPr>
        <w:pStyle w:val="Heading2"/>
      </w:pPr>
      <w:bookmarkStart w:id="100" w:name="units-of-analysis"/>
      <w:r>
        <w:t xml:space="preserve">Units of Analysis</w:t>
      </w:r>
      <w:bookmarkEnd w:id="100"/>
    </w:p>
    <w:p>
      <w:pPr>
        <w:pStyle w:val="FirstParagraph"/>
      </w:pPr>
      <w:r>
        <w:t xml:space="preserve">Conventionally researchers feed entire documents into the construction of term frequencies. This method treats any term in a document as being related to any other term by the same degree. The goal of any topic mixture model algorithm is to sift these terms into different topic categories basically by looking for clues across documents; a topic can be</w:t>
      </w:r>
      <w:r>
        <w:t xml:space="preserve"> </w:t>
      </w:r>
      <w:r>
        <w:t xml:space="preserve">“</w:t>
      </w:r>
      <w:r>
        <w:t xml:space="preserve">seen</w:t>
      </w:r>
      <w:r>
        <w:t xml:space="preserve">”</w:t>
      </w:r>
      <w:r>
        <w:t xml:space="preserve"> </w:t>
      </w:r>
      <w:r>
        <w:t xml:space="preserve">in a particular document to the extent that other documents include that topic and</w:t>
      </w:r>
      <w:r>
        <w:t xml:space="preserve"> </w:t>
      </w:r>
      <w:r>
        <w:rPr>
          <w:i/>
        </w:rPr>
        <w:t xml:space="preserve">other</w:t>
      </w:r>
      <w:r>
        <w:t xml:space="preserve"> </w:t>
      </w:r>
      <w:r>
        <w:t xml:space="preserve">topics different from the focal article, so that the intersection of terms reveals the topic. But a much simpler assumption to reduce the attendant noise within a document is to merely feed lower level syntactic structures–paragraphs and sentences–to the algorithm. We will see that doing so greatly improves the usefulness of discovered topics.</w:t>
      </w:r>
    </w:p>
    <w:p>
      <w:pPr>
        <w:pStyle w:val="BodyText"/>
      </w:pPr>
      <w:r>
        <w:t xml:space="preserve">The irony of this approach is that while topics become more clear as documents become shorter, the assignment of any particular shorter document to a topic is murkier due to the smaller word count.</w:t>
      </w:r>
    </w:p>
    <w:p>
      <w:pPr>
        <w:pStyle w:val="BodyText"/>
      </w:pPr>
      <w:r>
        <w:t xml:space="preserve">Long documents will contribute more text to the corpus, but this is fair as they make up more of the population of text. Thus a simple random sample will allow better descriptive statistics. I sampled at the paragraph level because.</w:t>
      </w:r>
    </w:p>
    <w:p>
      <w:pPr>
        <w:pStyle w:val="Heading2"/>
      </w:pPr>
      <w:bookmarkStart w:id="101" w:name="kd-dp2"/>
      <w:r>
        <w:t xml:space="preserve">Topics</w:t>
      </w:r>
      <w:bookmarkEnd w:id="101"/>
    </w:p>
    <w:p>
      <w:pPr>
        <w:pStyle w:val="FirstParagraph"/>
      </w:pPr>
      <w:r>
        <w:t xml:space="preserve">The modeling objective is twofold, to sort text into categories of similarity, and to describe the qualitative content that defines the category membership. In this way we may operationalize the notion of cultural meaning or cultural logic as the rules of category classification. reduce expressions as instances of a latent category of expression.</w:t>
      </w:r>
    </w:p>
    <w:p>
      <w:pPr>
        <w:pStyle w:val="Heading3"/>
      </w:pPr>
      <w:bookmarkStart w:id="102" w:name="how-many-topics"/>
      <w:r>
        <w:t xml:space="preserve">How many topics?</w:t>
      </w:r>
      <w:bookmarkEnd w:id="102"/>
    </w:p>
    <w:p>
      <w:pPr>
        <w:pStyle w:val="CaptionedFigure"/>
      </w:pPr>
      <w:r>
        <w:drawing>
          <wp:inline>
            <wp:extent cx="4620126" cy="3696101"/>
            <wp:effectExtent b="0" l="0" r="0" t="0"/>
            <wp:docPr descr="Figure 13 Distribution of K by convex hull" title="" id="1" name="Picture"/>
            <a:graphic>
              <a:graphicData uri="http://schemas.openxmlformats.org/drawingml/2006/picture">
                <pic:pic>
                  <pic:nvPicPr>
                    <pic:cNvPr descr="ambrose_dissertation_files/figure-docx/sim-fig-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13 Distribution of K by convex hull</w:t>
      </w:r>
    </w:p>
    <w:p>
      <w:pPr>
        <w:pStyle w:val="Compact"/>
      </w:pPr>
      <w:r>
        <w:t xml:space="preserve">(#tab:mlk2k)</w:t>
      </w:r>
      <w:r>
        <w:t xml:space="preserve">Kurtosis Permutation Test</w:t>
      </w:r>
    </w:p>
    <w:p>
      <w:pPr>
        <w:pStyle w:val="Compact"/>
      </w:pPr>
      <w:r>
        <w:t xml:space="preserve">level</w:t>
      </w:r>
    </w:p>
    <w:p>
      <w:pPr>
        <w:pStyle w:val="Compact"/>
      </w:pPr>
      <w:r>
        <w:t xml:space="preserve">e</w:t>
      </w:r>
    </w:p>
    <w:p>
      <w:pPr>
        <w:pStyle w:val="Compact"/>
      </w:pPr>
      <w:r>
        <w:t xml:space="preserve">se</w:t>
      </w:r>
    </w:p>
    <w:p>
      <w:pPr>
        <w:pStyle w:val="Compact"/>
      </w:pPr>
      <w:r>
        <w:t xml:space="preserve">l99</w:t>
      </w:r>
    </w:p>
    <w:p>
      <w:pPr>
        <w:pStyle w:val="Compact"/>
      </w:pPr>
      <w:r>
        <w:t xml:space="preserve">u99</w:t>
      </w:r>
    </w:p>
    <w:p>
      <w:pPr>
        <w:pStyle w:val="Compact"/>
      </w:pPr>
      <w:r>
        <w:t xml:space="preserve">P(e ≦ 0)</w:t>
      </w:r>
    </w:p>
    <w:p>
      <w:pPr>
        <w:pStyle w:val="Compact"/>
      </w:pPr>
      <w:r>
        <w:t xml:space="preserve">doc</w:t>
      </w:r>
    </w:p>
    <w:p>
      <w:pPr>
        <w:pStyle w:val="Compact"/>
      </w:pPr>
      <w:r>
        <w:t xml:space="preserve">-0.0932</w:t>
      </w:r>
    </w:p>
    <w:p>
      <w:pPr>
        <w:pStyle w:val="Compact"/>
      </w:pPr>
      <w:r>
        <w:t xml:space="preserve">0.1149</w:t>
      </w:r>
    </w:p>
    <w:p>
      <w:pPr>
        <w:pStyle w:val="Compact"/>
      </w:pPr>
      <w:r>
        <w:t xml:space="preserve">-0.3682</w:t>
      </w:r>
    </w:p>
    <w:p>
      <w:pPr>
        <w:pStyle w:val="Compact"/>
      </w:pPr>
      <w:r>
        <w:t xml:space="preserve">0.2252</w:t>
      </w:r>
    </w:p>
    <w:p>
      <w:pPr>
        <w:pStyle w:val="Compact"/>
      </w:pPr>
      <w:r>
        <w:t xml:space="preserve">0.7948</w:t>
      </w:r>
    </w:p>
    <w:p>
      <w:pPr>
        <w:pStyle w:val="Compact"/>
      </w:pPr>
      <w:r>
        <w:t xml:space="preserve">par</w:t>
      </w:r>
    </w:p>
    <w:p>
      <w:pPr>
        <w:pStyle w:val="Compact"/>
      </w:pPr>
      <w:r>
        <w:t xml:space="preserve">-0.1125</w:t>
      </w:r>
    </w:p>
    <w:p>
      <w:pPr>
        <w:pStyle w:val="Compact"/>
      </w:pPr>
      <w:r>
        <w:t xml:space="preserve">0.1206</w:t>
      </w:r>
    </w:p>
    <w:p>
      <w:pPr>
        <w:pStyle w:val="Compact"/>
      </w:pPr>
      <w:r>
        <w:t xml:space="preserve">-0.3999</w:t>
      </w:r>
    </w:p>
    <w:p>
      <w:pPr>
        <w:pStyle w:val="Compact"/>
      </w:pPr>
      <w:r>
        <w:t xml:space="preserve">0.2185</w:t>
      </w:r>
    </w:p>
    <w:p>
      <w:pPr>
        <w:pStyle w:val="Compact"/>
      </w:pPr>
      <w:r>
        <w:t xml:space="preserve">0.8257</w:t>
      </w:r>
    </w:p>
    <w:p>
      <w:pPr>
        <w:pStyle w:val="Compact"/>
      </w:pPr>
      <w:r>
        <w:t xml:space="preserve">sen</w:t>
      </w:r>
    </w:p>
    <w:p>
      <w:pPr>
        <w:pStyle w:val="Compact"/>
      </w:pPr>
      <w:r>
        <w:t xml:space="preserve">0.0118</w:t>
      </w:r>
    </w:p>
    <w:p>
      <w:pPr>
        <w:pStyle w:val="Compact"/>
      </w:pPr>
      <w:r>
        <w:t xml:space="preserve">0.2304</w:t>
      </w:r>
    </w:p>
    <w:p>
      <w:pPr>
        <w:pStyle w:val="Compact"/>
      </w:pPr>
      <w:r>
        <w:t xml:space="preserve">-0.5078</w:t>
      </w:r>
    </w:p>
    <w:p>
      <w:pPr>
        <w:pStyle w:val="Compact"/>
      </w:pPr>
      <w:r>
        <w:t xml:space="preserve">0.6471</w:t>
      </w:r>
    </w:p>
    <w:p>
      <w:pPr>
        <w:pStyle w:val="Compact"/>
      </w:pPr>
      <w:r>
        <w:t xml:space="preserve">0.4973</w:t>
      </w:r>
    </w:p>
    <w:p>
      <w:pPr>
        <w:pStyle w:val="CaptionedFigure"/>
      </w:pPr>
      <w:r>
        <w:drawing>
          <wp:inline>
            <wp:extent cx="4620126" cy="3696101"/>
            <wp:effectExtent b="0" l="0" r="0" t="0"/>
            <wp:docPr descr="Figure 14 Significant Counts of K" title="" id="1" name="Picture"/>
            <a:graphic>
              <a:graphicData uri="http://schemas.openxmlformats.org/drawingml/2006/picture">
                <pic:pic>
                  <pic:nvPicPr>
                    <pic:cNvPr descr="ambrose_dissertation_files/figure-docx/mlk-tab-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14 Significant Counts of K</w:t>
      </w:r>
    </w:p>
    <w:p>
      <w:pPr>
        <w:pStyle w:val="Heading2"/>
      </w:pPr>
      <w:bookmarkStart w:id="105" w:name="model-selection"/>
      <w:r>
        <w:t xml:space="preserve">Model selection</w:t>
      </w:r>
      <w:bookmarkEnd w:id="105"/>
    </w:p>
    <w:p>
      <w:pPr>
        <w:pStyle w:val="Heading1"/>
      </w:pPr>
      <w:bookmarkStart w:id="106" w:name="ten"/>
      <w:r>
        <w:t xml:space="preserve">The Development of Intensive Referencing</w:t>
      </w:r>
      <w:bookmarkEnd w:id="106"/>
    </w:p>
    <w:p>
      <w:pPr>
        <w:pStyle w:val="Heading4"/>
      </w:pPr>
      <w:bookmarkStart w:id="107" w:name="abstract-4"/>
      <w:r>
        <w:t xml:space="preserve">Abstract</w:t>
      </w:r>
      <w:bookmarkEnd w:id="107"/>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Heading4"/>
      </w:pPr>
      <w:bookmarkStart w:id="108" w:name="keywords-4"/>
      <w:r>
        <w:t xml:space="preserve">Keywords</w:t>
      </w:r>
      <w:bookmarkEnd w:id="108"/>
    </w:p>
    <w:p>
      <w:pPr>
        <w:pStyle w:val="FirstParagraph"/>
      </w:pPr>
      <w:r>
        <w:t xml:space="preserve">poisson, permutation test, historical development, citation, bibliometry, history of social science</w:t>
      </w:r>
    </w:p>
    <w:p>
      <w:pPr>
        <w:pStyle w:val="BodyText"/>
      </w:pPr>
      <w:r>
        <w:t xml:space="preserve">##intro</w:t>
      </w:r>
      <w:r>
        <w:t xml:space="preserve"> </w:t>
      </w:r>
      <w:r>
        <w:t xml:space="preserve">The citation network of scholarship is a critical analytical tool in bibliometry; indeed the field was revolutionized by the advent of citation indexing.</w:t>
      </w:r>
      <w:r>
        <w:t xml:space="preserve"> </w:t>
      </w:r>
      <w:r>
        <w:t xml:space="preserve">Nonetheless the concept has alternately been treated as an analytical device and as a characterization of the phenomenon, what I will call an ontology. These are very different approaches to citation networks. As analytical device, citation networks are instruments by which the researcher uncovers features of scholarship that were not visible without application of the network. For instance, a citation network may reveal a cluster indicating the presence of an invisible college. The invisible college is not itself a citation network; perhaps it is research partnership may be a local phenomenon explained by facts on the ground that have little to do with citations. When treated as an ontology, the researcher reifies the citation network as the real phenomenon; the network tends to explain itself. An article, in making a citation, creates a conduit allowing knowledge or influence to flow into it. It is via the citation that knowledge happens.</w:t>
      </w:r>
      <w:r>
        <w:t xml:space="preserve"> </w:t>
      </w:r>
      <w:r>
        <w:t xml:space="preserve">The ontology may depend on how the citation network is constructed. In a knowledge flow network, citations are directed links, and sending and receiving articles have equal status as nodes. In a co-reference network, citations are nodes, and articles are links among those citations appearing in the articles’ bibliographies. Because such a network is undirected there can be no ontology of knowledge flow.</w:t>
      </w:r>
      <w:r>
        <w:t xml:space="preserve"> </w:t>
      </w:r>
      <w:r>
        <w:t xml:space="preserve">The citation network, however, is an historical development that privileges the professional aspect of the university.</w:t>
      </w:r>
      <w:r>
        <w:t xml:space="preserve"> </w:t>
      </w:r>
      <w:r>
        <w:t xml:space="preserve">The citation network allows national and international relations to dominate local ones. It allows publication to dominate all other venues of intellectual production.</w:t>
      </w:r>
    </w:p>
    <w:p>
      <w:pPr>
        <w:pStyle w:val="Heading2"/>
      </w:pPr>
      <w:bookmarkStart w:id="109" w:name="method-1"/>
      <w:r>
        <w:t xml:space="preserve">method</w:t>
      </w:r>
      <w:bookmarkEnd w:id="109"/>
    </w:p>
    <w:p>
      <w:pPr>
        <w:pStyle w:val="FirstParagraph"/>
      </w:pPr>
      <w:r>
        <w:t xml:space="preserve">For every year, find distribution of bibliography size.</w:t>
      </w:r>
      <w:r>
        <w:t xml:space="preserve"> </w:t>
      </w:r>
      <w:r>
        <w:t xml:space="preserve">We will draw from this to show the effect of variation in bibliography lengths. We may already surmise that extreme values will create some instability.</w:t>
      </w:r>
    </w:p>
    <w:p>
      <w:pPr>
        <w:pStyle w:val="BodyText"/>
      </w:pPr>
      <w:r>
        <w:t xml:space="preserve">For every year, find edge weight distribution, including zeroes.</w:t>
      </w:r>
    </w:p>
    <w:p>
      <w:pPr>
        <w:pStyle w:val="BodyText"/>
      </w:pPr>
      <w:r>
        <w:t xml:space="preserve">Find size of total</w:t>
      </w:r>
      <w:r>
        <w:t xml:space="preserve"> </w:t>
      </w:r>
      <w:r>
        <w:t xml:space="preserve">“</w:t>
      </w:r>
      <w:r>
        <w:t xml:space="preserve">space</w:t>
      </w:r>
      <w:r>
        <w:t xml:space="preserve">”</w:t>
      </w:r>
      <w:r>
        <w:t xml:space="preserve"> </w:t>
      </w:r>
      <w:r>
        <w:t xml:space="preserve">in which edes might be laid down. Find total number of co-citations.</w:t>
      </w:r>
    </w:p>
    <w:p>
      <w:pPr>
        <w:pStyle w:val="BodyText"/>
      </w:pPr>
      <w:r>
        <w:t xml:space="preserve">Simulate simple poisson in that space.</w:t>
      </w:r>
    </w:p>
    <w:p>
      <w:pPr>
        <w:pStyle w:val="BodyText"/>
      </w:pPr>
      <w:r>
        <w:t xml:space="preserve">Compare to simulation of actually bibliographies in that space.</w:t>
      </w:r>
    </w:p>
    <w:p>
      <w:pPr>
        <w:pStyle w:val="BodyText"/>
      </w:pPr>
      <w:r>
        <w:t xml:space="preserve">Test hypothesis that there is a move from extensive to intensive development.</w:t>
      </w:r>
    </w:p>
    <w:p>
      <w:pPr>
        <w:pStyle w:val="Heading2"/>
      </w:pPr>
      <w:bookmarkStart w:id="110" w:name="lit-review"/>
      <w:r>
        <w:t xml:space="preserve">lit review</w:t>
      </w:r>
      <w:bookmarkEnd w:id="110"/>
    </w:p>
    <w:bookmarkStart w:id="124" w:name="refs"/>
    <w:bookmarkStart w:id="111" w:name="ref-Beer2013Genre"/>
    <w:p>
      <w:pPr>
        <w:pStyle w:val="Bibliography"/>
      </w:pPr>
      <w:r>
        <w:t xml:space="preserve">Beer, David. 2013. “Genre, Boundary Drawing and the Classificatory Imagination.”</w:t>
      </w:r>
      <w:r>
        <w:t xml:space="preserve"> </w:t>
      </w:r>
      <w:r>
        <w:rPr>
          <w:i/>
        </w:rPr>
        <w:t xml:space="preserve">Cultural Sociology</w:t>
      </w:r>
      <w:r>
        <w:t xml:space="preserve"> </w:t>
      </w:r>
      <w:r>
        <w:t xml:space="preserve">7(2):145–60.</w:t>
      </w:r>
    </w:p>
    <w:bookmarkEnd w:id="111"/>
    <w:bookmarkStart w:id="112" w:name="ref-Boulding1956General"/>
    <w:p>
      <w:pPr>
        <w:pStyle w:val="Bibliography"/>
      </w:pPr>
      <w:r>
        <w:t xml:space="preserve">Boulding, Kenneth E. 1956. “General Systems Theory-the Skeleton of Science.”</w:t>
      </w:r>
      <w:r>
        <w:t xml:space="preserve"> </w:t>
      </w:r>
      <w:r>
        <w:rPr>
          <w:i/>
        </w:rPr>
        <w:t xml:space="preserve">Management Science</w:t>
      </w:r>
      <w:r>
        <w:t xml:space="preserve"> </w:t>
      </w:r>
      <w:r>
        <w:t xml:space="preserve">2(3):197–208.</w:t>
      </w:r>
    </w:p>
    <w:bookmarkEnd w:id="112"/>
    <w:bookmarkStart w:id="113" w:name="ref-DiMaggio1987Classification"/>
    <w:p>
      <w:pPr>
        <w:pStyle w:val="Bibliography"/>
      </w:pPr>
      <w:r>
        <w:t xml:space="preserve">DiMaggio, Paul. 1987. “Classification in Art.”</w:t>
      </w:r>
      <w:r>
        <w:t xml:space="preserve"> </w:t>
      </w:r>
      <w:r>
        <w:rPr>
          <w:i/>
        </w:rPr>
        <w:t xml:space="preserve">American Sociological Review</w:t>
      </w:r>
      <w:r>
        <w:t xml:space="preserve"> </w:t>
      </w:r>
      <w:r>
        <w:t xml:space="preserve">52(4):440–55.</w:t>
      </w:r>
    </w:p>
    <w:bookmarkEnd w:id="113"/>
    <w:bookmarkStart w:id="114" w:name="ref-DiMaggio1983Iron"/>
    <w:p>
      <w:pPr>
        <w:pStyle w:val="Bibliography"/>
      </w:pPr>
      <w:r>
        <w:t xml:space="preserve">DiMaggio, Paul J. and Walter W. Powell. 1983. “The Iron Cage Revisited: Institutional Isomorphism and Collective Rationality in Organizational Fields.”</w:t>
      </w:r>
      <w:r>
        <w:t xml:space="preserve"> </w:t>
      </w:r>
      <w:r>
        <w:rPr>
          <w:i/>
        </w:rPr>
        <w:t xml:space="preserve">American Sociological Review</w:t>
      </w:r>
      <w:r>
        <w:t xml:space="preserve"> </w:t>
      </w:r>
      <w:r>
        <w:t xml:space="preserve">48(2):147–60.</w:t>
      </w:r>
    </w:p>
    <w:bookmarkEnd w:id="114"/>
    <w:bookmarkStart w:id="115" w:name="ref-Durkheim1893division"/>
    <w:p>
      <w:pPr>
        <w:pStyle w:val="Bibliography"/>
      </w:pPr>
      <w:r>
        <w:t xml:space="preserve">Durkheim, Émile. 1893.</w:t>
      </w:r>
      <w:r>
        <w:t xml:space="preserve"> </w:t>
      </w:r>
      <w:r>
        <w:rPr>
          <w:i/>
        </w:rPr>
        <w:t xml:space="preserve">The Division of Labour in Society</w:t>
      </w:r>
      <w:r>
        <w:t xml:space="preserve">. 2nd. ed. edited by S. Lukes. Basingstoke, Hampshire: Palgrave Macmillan UK.</w:t>
      </w:r>
    </w:p>
    <w:bookmarkEnd w:id="115"/>
    <w:bookmarkStart w:id="116" w:name="ref-Foucault2002order"/>
    <w:p>
      <w:pPr>
        <w:pStyle w:val="Bibliography"/>
      </w:pPr>
      <w:r>
        <w:t xml:space="preserve">Foucault, Michel. 2002.</w:t>
      </w:r>
      <w:r>
        <w:t xml:space="preserve"> </w:t>
      </w:r>
      <w:r>
        <w:rPr>
          <w:i/>
        </w:rPr>
        <w:t xml:space="preserve">The Order of Things: An Archaeology of the Human Sciences</w:t>
      </w:r>
      <w:r>
        <w:t xml:space="preserve">. London: Routledge.</w:t>
      </w:r>
    </w:p>
    <w:bookmarkEnd w:id="116"/>
    <w:bookmarkStart w:id="117" w:name="ref-Hayes2000Assessing"/>
    <w:p>
      <w:pPr>
        <w:pStyle w:val="Bibliography"/>
      </w:pPr>
      <w:r>
        <w:t xml:space="preserve">Hayes, Robert M. 2000. “Assessing the Value of a Database Company.” in</w:t>
      </w:r>
      <w:r>
        <w:t xml:space="preserve"> </w:t>
      </w:r>
      <w:r>
        <w:rPr>
          <w:i/>
        </w:rPr>
        <w:t xml:space="preserve">The Web of Knowledge: A Festschrift in Honor of Eugene Garfield</w:t>
      </w:r>
      <w:r>
        <w:t xml:space="preserve">, edited by B. Cronin and H. B. Atkins. Information Today, Inc.</w:t>
      </w:r>
    </w:p>
    <w:bookmarkEnd w:id="117"/>
    <w:bookmarkStart w:id="118" w:name="ref-Lederberg2000How"/>
    <w:p>
      <w:pPr>
        <w:pStyle w:val="Bibliography"/>
      </w:pPr>
      <w:r>
        <w:t xml:space="preserve">Lederberg, Joshua. 2000. “How the Science Citation Index Got Started.” in</w:t>
      </w:r>
      <w:r>
        <w:t xml:space="preserve"> </w:t>
      </w:r>
      <w:r>
        <w:rPr>
          <w:i/>
        </w:rPr>
        <w:t xml:space="preserve">The Web of Knowledge: A Festschrift in Honor of Eugene Garfield</w:t>
      </w:r>
      <w:r>
        <w:t xml:space="preserve">, edited by B. Cronin and H. B. Atkins. Information Today, Inc.</w:t>
      </w:r>
    </w:p>
    <w:bookmarkEnd w:id="118"/>
    <w:bookmarkStart w:id="119" w:name="ref-Lizardo2018mutual"/>
    <w:p>
      <w:pPr>
        <w:pStyle w:val="Bibliography"/>
      </w:pPr>
      <w:r>
        <w:t xml:space="preserve">Lizardo, Omar. 2018. “The Mutual Specification of Genres and Audiences: Reflective Two-Mode Centralities in Person-to-Culture Data.”</w:t>
      </w:r>
      <w:r>
        <w:t xml:space="preserve"> </w:t>
      </w:r>
      <w:r>
        <w:rPr>
          <w:i/>
        </w:rPr>
        <w:t xml:space="preserve">Poetics</w:t>
      </w:r>
      <w:r>
        <w:t xml:space="preserve"> </w:t>
      </w:r>
      <w:r>
        <w:t xml:space="preserve">68:52–71.</w:t>
      </w:r>
    </w:p>
    <w:bookmarkEnd w:id="119"/>
    <w:bookmarkStart w:id="120" w:name="ref-Morville2009Ambient"/>
    <w:p>
      <w:pPr>
        <w:pStyle w:val="Bibliography"/>
      </w:pPr>
      <w:r>
        <w:t xml:space="preserve">Morville, Peter. 2009.</w:t>
      </w:r>
      <w:r>
        <w:t xml:space="preserve"> </w:t>
      </w:r>
      <w:r>
        <w:rPr>
          <w:i/>
        </w:rPr>
        <w:t xml:space="preserve">Ambient Findability</w:t>
      </w:r>
      <w:r>
        <w:t xml:space="preserve">. O’Reilly.</w:t>
      </w:r>
    </w:p>
    <w:bookmarkEnd w:id="120"/>
    <w:bookmarkStart w:id="121"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121"/>
    <w:bookmarkStart w:id="122" w:name="ref-Schutz1970Reflections"/>
    <w:p>
      <w:pPr>
        <w:pStyle w:val="Bibliography"/>
      </w:pPr>
      <w:r>
        <w:t xml:space="preserve">Schutz, Alfred. 1970.</w:t>
      </w:r>
      <w:r>
        <w:t xml:space="preserve"> </w:t>
      </w:r>
      <w:r>
        <w:rPr>
          <w:i/>
        </w:rPr>
        <w:t xml:space="preserve">Reflections on the Problem of Relevance</w:t>
      </w:r>
      <w:r>
        <w:t xml:space="preserve">. First Edition edition. New Haven: Yale University Press.</w:t>
      </w:r>
    </w:p>
    <w:bookmarkEnd w:id="122"/>
    <w:bookmarkStart w:id="123" w:name="ref-Shi2015Weaving"/>
    <w:p>
      <w:pPr>
        <w:pStyle w:val="Bibliography"/>
      </w:pPr>
      <w:r>
        <w:t xml:space="preserve">Shi, Feng, Jacob G. Foster, and James A. Evans. 2015. “Weaving the Fabric of Science: Dynamic Network Models of Science’s Unfolding Structure.”</w:t>
      </w:r>
      <w:r>
        <w:t xml:space="preserve"> </w:t>
      </w:r>
      <w:r>
        <w:rPr>
          <w:i/>
        </w:rPr>
        <w:t xml:space="preserve">Social Networks</w:t>
      </w:r>
      <w:r>
        <w:t xml:space="preserve"> </w:t>
      </w:r>
      <w:r>
        <w:t xml:space="preserve">43:73–85.</w:t>
      </w:r>
    </w:p>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9">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1">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5">
    <w:p>
      <w:pPr>
        <w:pStyle w:val="FootnoteText"/>
      </w:pPr>
      <w:r>
        <w:rPr>
          <w:rStyle w:val="FootnoteReference"/>
        </w:rPr>
        <w:footnoteRef/>
      </w:r>
      <w:r>
        <w:t xml:space="preserve"> </w:t>
      </w:r>
      <w:r>
        <w:t xml:space="preserve">To avoid overcounting, title histories are collapsed into their most recent record, meaning all subsequent counts are out of 2,738. Even though we might expect disciplinary identity to change over time, JSTOR discipline labels do not vary within title histories. One journal–Scientific American Mind–lacked any discipline labels and is excluded from tabulations.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89" Target="media/rId89.png" /><Relationship Type="http://schemas.openxmlformats.org/officeDocument/2006/relationships/image" Id="rId80" Target="media/rId80.png" /><Relationship Type="http://schemas.openxmlformats.org/officeDocument/2006/relationships/image" Id="rId73" Target="media/rId73.png" /><Relationship Type="http://schemas.openxmlformats.org/officeDocument/2006/relationships/image" Id="rId61" Target="media/rId61.png" /><Relationship Type="http://schemas.openxmlformats.org/officeDocument/2006/relationships/image" Id="rId104" Target="media/rId104.png" /><Relationship Type="http://schemas.openxmlformats.org/officeDocument/2006/relationships/image" Id="rId57" Target="media/rId57.png" /><Relationship Type="http://schemas.openxmlformats.org/officeDocument/2006/relationships/image" Id="rId91" Target="media/rId91.png" /><Relationship Type="http://schemas.openxmlformats.org/officeDocument/2006/relationships/image" Id="rId90" Target="media/rId90.png" /><Relationship Type="http://schemas.openxmlformats.org/officeDocument/2006/relationships/image" Id="rId103" Target="media/rId103.png" /><Relationship Type="http://schemas.openxmlformats.org/officeDocument/2006/relationships/image" Id="rId44" Target="media/rId44.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 Type="http://schemas.openxmlformats.org/officeDocument/2006/relationships/hyperlink" Id="rId77" Target="https://www.jstor.org/stable/i40084238" TargetMode="External" /><Relationship Type="http://schemas.openxmlformats.org/officeDocument/2006/relationships/hyperlink" Id="rId78" Target="https://www.jstor.org/stable/i40084262" TargetMode="External" /><Relationship Type="http://schemas.openxmlformats.org/officeDocument/2006/relationships/hyperlink" Id="rId74" Target="tree.html"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 Type="http://schemas.openxmlformats.org/officeDocument/2006/relationships/hyperlink" Id="rId77" Target="https://www.jstor.org/stable/i40084238" TargetMode="External" /><Relationship Type="http://schemas.openxmlformats.org/officeDocument/2006/relationships/hyperlink" Id="rId78" Target="https://www.jstor.org/stable/i40084262" TargetMode="External" /><Relationship Type="http://schemas.openxmlformats.org/officeDocument/2006/relationships/hyperlink" Id="rId74" Target="tre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2019-07-09T03:23:31Z</dcterms:created>
  <dcterms:modified xsi:type="dcterms:W3CDTF">2019-07-09T03:23:31Z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2019-07-09</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