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85.png" ContentType="image/png"/>
  <Override PartName="/word/media/rId76.png" ContentType="image/png"/>
  <Override PartName="/word/media/rId69.png" ContentType="image/png"/>
  <Override PartName="/word/media/rId57.png" ContentType="image/png"/>
  <Override PartName="/word/media/rId100.png" ContentType="image/png"/>
  <Override PartName="/word/media/rId53.png" ContentType="image/png"/>
  <Override PartName="/word/media/rId87.png" ContentType="image/png"/>
  <Override PartName="/word/media/rId86.png" ContentType="image/png"/>
  <Override PartName="/word/media/rId99.png" ContentType="image/png"/>
  <Override PartName="/word/media/rId72.png" ContentType="image/png"/>
  <Override PartName="/word/media/rId75.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introduction"/>
      <w:r>
        <w:t xml:space="preserve">Introduction</w:t>
      </w:r>
      <w:bookmarkEnd w:id="25"/>
    </w:p>
    <w:p>
      <w:pPr>
        <w:pStyle w:val="FirstParagraph"/>
      </w:pPr>
      <w:r>
        <w:t xml:space="preserve">(ref:abs-int)</w:t>
      </w:r>
    </w:p>
    <w:p>
      <w:pPr>
        <w:pStyle w:val="BodyText"/>
      </w:pPr>
      <w:r>
        <w:t xml:space="preserve">(ref:abs-int)</w:t>
      </w:r>
    </w:p>
    <w:p>
      <w:pPr>
        <w:pStyle w:val="BodyText"/>
      </w:pPr>
      <w:r>
        <w:t xml:space="preserve">(ref:key-int)</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Introduction</w:t>
      </w:r>
      <w:bookmarkEnd w:id="30"/>
    </w:p>
    <w:p>
      <w:pPr>
        <w:pStyle w:val="Heading4"/>
      </w:pPr>
      <w:bookmarkStart w:id="31" w:name="abstract"/>
      <w:r>
        <w:t xml:space="preserve">Abstract</w:t>
      </w:r>
      <w:bookmarkEnd w:id="31"/>
    </w:p>
    <w:p>
      <w:pPr>
        <w:pStyle w:val="FirstParagraph"/>
      </w:pPr>
      <w:r>
        <w:t xml:space="preserve">(ref:abs-int)</w:t>
      </w:r>
    </w:p>
    <w:p>
      <w:pPr>
        <w:pStyle w:val="Heading4"/>
      </w:pPr>
      <w:bookmarkStart w:id="32" w:name="keywords"/>
      <w:r>
        <w:t xml:space="preserve">Keywords</w:t>
      </w:r>
      <w:bookmarkEnd w:id="32"/>
    </w:p>
    <w:p>
      <w:pPr>
        <w:pStyle w:val="FirstParagraph"/>
      </w:pPr>
      <w:r>
        <w:t xml:space="preserve">(ref:key-int)</w:t>
      </w:r>
    </w:p>
    <w:p>
      <w:pPr>
        <w:pStyle w:val="Heading2"/>
      </w:pPr>
      <w:bookmarkStart w:id="33" w:name="genre-and-the-literature"/>
      <w:r>
        <w:t xml:space="preserve">Genre and the Literature</w:t>
      </w:r>
      <w:bookmarkEnd w:id="33"/>
    </w:p>
    <w:p>
      <w:pPr>
        <w:pStyle w:val="FirstParagraph"/>
      </w:pPr>
      <w:r>
        <w:t xml:space="preserve">Genre is a specialty concept in sociology, a ubiquitous one in the humanities, and a common sense word in popular parlance. Genre as a scholarly term is defined and used differently by different disciplines and among researchers in the same discipline. These varied uses of the term would make reviewing the literature on the topic of genre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simplicty begets new complexity as disciples spin out the consequences of their local use of ther term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 Genre’s meaning is context specific and variable across sociological subfields, though it is amplified in empiricist fashion by economy and society approaches that reduce genre to the act of classification itself, empiricist because of the empirical ease with which the classification or labeling actions are observed. Especially with Internet distribution systems, it becomes trivial for corporations to observe when a consumer labels their preferences while browing a content catalog; it is much harder to observe the ideas that consuming a particular piece of content sparks in the consumer.</w:t>
      </w:r>
    </w:p>
    <w:p>
      <w:pPr>
        <w:pStyle w:val="BodyText"/>
      </w:pPr>
      <w:r>
        <w:t xml:space="preserve">In a different discipline, far removed from sociology, disciples of cultural studies use the term much differently.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hope that others have a resonant experience. In any event, genres have much more substance to them for humanists than they do for sociologists. For sociologists of culture, genres are how people use genre labels, while for humanists, genres are knowledge.</w:t>
      </w:r>
    </w:p>
    <w:p>
      <w:pPr>
        <w:pStyle w:val="BodyText"/>
      </w:pPr>
      <w:r>
        <w:t xml:space="preserve">What then is genre to a sociologist of knowledge, and perhaps to a cultural sociologist? It is ontology as it is for the humanist, however it is not the ontology as represented to the researcher in the consumption of texts. It is the hopelessly unobservable distribution of ontologies appearing in a population of consumers objecting to similar texts (objecting in the etymological sense of throwing content in their own way, of compeling attention). The sociologist of knowledge accuses the sociologist of culture of reducing internalist concepts, thought and experience, to externalist ones, taste and preference. The sociologist of culture rejoinds, show me yours and I’ll show you mine, and the interlocuters spin around the axis defining the boundary between their subfields.</w:t>
      </w:r>
    </w:p>
    <w:p>
      <w:pPr>
        <w:pStyle w:val="BodyText"/>
      </w:pPr>
      <w:r>
        <w:t xml:space="preserve">Yet for all their differences, do these views of genres contradict, or are they complementary? Does genre as distribution serve the economic sociologists’s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BodyText"/>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deletantism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Insodoing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w:t>
      </w:r>
    </w:p>
    <w:p>
      <w:pPr>
        <w:pStyle w:val="Heading2"/>
      </w:pPr>
      <w:bookmarkStart w:id="34" w:name="method"/>
      <w:r>
        <w:t xml:space="preserve">Method</w:t>
      </w:r>
      <w:bookmarkEnd w:id="34"/>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w:t>
      </w:r>
    </w:p>
    <w:p>
      <w:pPr>
        <w:pStyle w:val="Heading3"/>
      </w:pPr>
      <w:bookmarkStart w:id="35" w:name="distant-sampling"/>
      <w:r>
        <w:t xml:space="preserve">Distant sampling</w:t>
      </w:r>
      <w:bookmarkEnd w:id="35"/>
    </w:p>
    <w:p>
      <w:pPr>
        <w:pStyle w:val="FirstParagraph"/>
      </w:pPr>
      <w:r>
        <w:t xml:space="preserve">The methodological premise of a metanalysis of genre is that the Gordian knot of global cultural complexity can be cut by stratified sampling. I use a large digital archive of texts, JSTOR, to define the cultural universe, and a simple term search of the keyword</w:t>
      </w:r>
      <w:r>
        <w:t xml:space="preserve"> </w:t>
      </w:r>
      <w:r>
        <w:t xml:space="preserve">“</w:t>
      </w:r>
      <w:r>
        <w:t xml:space="preserve">genre</w:t>
      </w:r>
      <w:r>
        <w:t xml:space="preserve">”</w:t>
      </w:r>
      <w:r>
        <w:t xml:space="preserve"> </w:t>
      </w:r>
      <w:r>
        <w:t xml:space="preserve">to define a sampling frame. 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insodoing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computaitonal text analysis may start with a replacement of, for instance, the standard literature review, the conventional distrust, at least in sociology, of mathematical models of text makes CTA more of a sampling method than an analytical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36" w:name="arms-length-reading"/>
      <w:r>
        <w:t xml:space="preserve">Arms-length reading</w:t>
      </w:r>
      <w:bookmarkEnd w:id="36"/>
    </w:p>
    <w:p>
      <w:pPr>
        <w:pStyle w:val="FirstParagraph"/>
      </w:pPr>
      <w:r>
        <w:t xml:space="preserve">The radical (and much maligned) distant reading approach taken by digital humanists is partially used here. While I employ a quantitative analysis of texts the goal is to not replace human reading with machine reading; knowledge, understanding, and the cultural logics of arguments are still only obtainable by reading primary texts, closely or not. What computational text analysis offers guidance in answering the question of what to read, and perhaps in what order to do so. Clearly this question is answered institutionally for scholars already in canon, curriculum, word of mouth, and reference services. The social patterns of these answers are topics for the sociology of knowledge and science and for the information sciences. Whatever they are, however, we assume them to be arbitrary reductions in the overwhelming complexity of published scholarship. The pious hope of the present exercise is to move in a less arbitrary direction in aswering the question of what to read.</w:t>
      </w:r>
    </w:p>
    <w:p>
      <w:pPr>
        <w:pStyle w:val="BodyText"/>
      </w:pPr>
      <w:r>
        <w:t xml:space="preserve">If distant reading is a criticsm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Heading2"/>
      </w:pPr>
      <w:bookmarkStart w:id="37" w:name="data"/>
      <w:r>
        <w:t xml:space="preserve">Data</w:t>
      </w:r>
      <w:bookmarkEnd w:id="37"/>
    </w:p>
    <w:p>
      <w:pPr>
        <w:pStyle w:val="FirstParagraph"/>
      </w:pPr>
      <w:r>
        <w:t xml:space="preserve">We will use the JSTOR Data for Research service to download a corpus of texts for topic modeling. I take the following steps to develop a corpus:</w:t>
      </w:r>
    </w:p>
    <w:p>
      <w:pPr>
        <w:pStyle w:val="Compact"/>
        <w:numPr>
          <w:numId w:val="1002"/>
          <w:ilvl w:val="0"/>
        </w:numPr>
      </w:pPr>
      <w:r>
        <w:t xml:space="preserve">Search dfr.jstor.org using the query</w:t>
      </w:r>
      <w:r>
        <w:t xml:space="preserve"> </w:t>
      </w:r>
      <w:r>
        <w:rPr>
          <w:rStyle w:val="VerbatimChar"/>
        </w:rPr>
        <w:t xml:space="preserve">(ta:genre OR ab:genre) AND la:eng</w:t>
      </w:r>
      <w:r>
        <w:t xml:space="preserve"> </w:t>
      </w:r>
      <w:r>
        <w:t xml:space="preserve">and requesting 1grams.</w:t>
      </w:r>
    </w:p>
    <w:p>
      <w:pPr>
        <w:pStyle w:val="Compact"/>
        <w:numPr>
          <w:numId w:val="1002"/>
          <w:ilvl w:val="0"/>
        </w:numPr>
      </w:pPr>
      <w:r>
        <w:t xml:space="preserve">To cull documents for which genre is not an important term, exclude documents containing the 1gram</w:t>
      </w:r>
      <w:r>
        <w:t xml:space="preserve"> </w:t>
      </w:r>
      <w:r>
        <w:t xml:space="preserve">“</w:t>
      </w:r>
      <w:r>
        <w:t xml:space="preserve">genre</w:t>
      </w:r>
      <w:r>
        <w:t xml:space="preserve">”</w:t>
      </w:r>
      <w:r>
        <w:t xml:space="preserve"> </w:t>
      </w:r>
      <w:r>
        <w:t xml:space="preserve">fewer than five times.</w:t>
      </w:r>
    </w:p>
    <w:p>
      <w:pPr>
        <w:pStyle w:val="Compact"/>
        <w:numPr>
          <w:numId w:val="1002"/>
          <w:ilvl w:val="0"/>
        </w:numPr>
      </w:pPr>
      <w:r>
        <w:t xml:space="preserve">Remove ngrams appearing fewer than three times, which often includes optical character recognition errors.</w:t>
      </w:r>
    </w:p>
    <w:p>
      <w:pPr>
        <w:pStyle w:val="Compact"/>
        <w:numPr>
          <w:numId w:val="1002"/>
          <w:ilvl w:val="0"/>
        </w:numPr>
      </w:pPr>
      <w:r>
        <w:t xml:space="preserve">Remove ngrams shorter than three characters and longer than 25 characters, again often OCR errors but also stopwords that will be removed anyway.</w:t>
      </w:r>
      <w:r>
        <w:rPr>
          <w:rStyle w:val="FootnoteReference"/>
        </w:rPr>
        <w:footnoteReference w:id="38"/>
      </w:r>
    </w:p>
    <w:p>
      <w:pPr>
        <w:pStyle w:val="Compact"/>
        <w:numPr>
          <w:numId w:val="1002"/>
          <w:ilvl w:val="0"/>
        </w:numPr>
      </w:pPr>
      <w:r>
        <w:t xml:space="preserve">Compile baseline word counts for each document assuming that at this step the documents contain only valid terms, and no OCR errors.</w:t>
      </w:r>
    </w:p>
    <w:p>
      <w:pPr>
        <w:pStyle w:val="Compact"/>
        <w:numPr>
          <w:numId w:val="1002"/>
          <w:ilvl w:val="0"/>
        </w:numPr>
      </w:pPr>
      <w:r>
        <w:t xml:space="preserve">Remove SMART stopwords.</w:t>
      </w:r>
    </w:p>
    <w:p>
      <w:pPr>
        <w:pStyle w:val="Compact"/>
        <w:numPr>
          <w:numId w:val="1002"/>
          <w:ilvl w:val="0"/>
        </w:numPr>
      </w:pPr>
      <w:r>
        <w:t xml:space="preserve">Remove numbers.</w:t>
      </w:r>
    </w:p>
    <w:p>
      <w:pPr>
        <w:pStyle w:val="Compact"/>
        <w:numPr>
          <w:numId w:val="1002"/>
          <w:ilvl w:val="0"/>
        </w:numPr>
      </w:pPr>
      <w:r>
        <w:t xml:space="preserve">Remove punctuation, except intraword hyphens.</w:t>
      </w:r>
    </w:p>
    <w:p>
      <w:pPr>
        <w:pStyle w:val="Compact"/>
        <w:numPr>
          <w:numId w:val="1002"/>
          <w:ilvl w:val="0"/>
        </w:numPr>
      </w:pPr>
      <w:r>
        <w:t xml:space="preserve">Lemmatize or stem English words.</w:t>
      </w:r>
    </w:p>
    <w:p>
      <w:pPr>
        <w:pStyle w:val="Compact"/>
        <w:numPr>
          <w:numId w:val="1002"/>
          <w:ilvl w:val="0"/>
        </w:numPr>
      </w:pPr>
      <w:r>
        <w:t xml:space="preserve">Remove lemma with fewer than three characters.</w:t>
      </w:r>
    </w:p>
    <w:p>
      <w:pPr>
        <w:pStyle w:val="Compact"/>
        <w:numPr>
          <w:numId w:val="1002"/>
          <w:ilvl w:val="0"/>
        </w:numPr>
      </w:pPr>
      <w:r>
        <w:t xml:space="preserve">Aggregate 1grams defined by a single lemma and, for ease of interpretation, name the sum after the most common 1gram.</w:t>
      </w:r>
    </w:p>
    <w:p>
      <w:pPr>
        <w:pStyle w:val="Compact"/>
        <w:numPr>
          <w:numId w:val="1002"/>
          <w:ilvl w:val="0"/>
        </w:numPr>
      </w:pPr>
      <w:r>
        <w:t xml:space="preserve">Remove terms appearing in fewer than 20 documents.</w:t>
      </w:r>
    </w:p>
    <w:p>
      <w:pPr>
        <w:pStyle w:val="Compact"/>
        <w:numPr>
          <w:numId w:val="1002"/>
          <w:ilvl w:val="0"/>
        </w:numPr>
      </w:pPr>
      <w:r>
        <w:t xml:space="preserve">Remove documents that, after the above filters, have a word count of fewer than 500 words.</w:t>
      </w:r>
    </w:p>
    <w:p>
      <w:pPr>
        <w:pStyle w:val="FirstParagraph"/>
      </w:pPr>
      <w:r>
        <w:t xml:space="preserve">The initial query returned ? articles from ? different journals, as well as ? book chapters. After the above processing steps, the sample was reduced to ?. It is fair to ask what was lost.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idiosyncracy, which I will have cause to interpret later.</w:t>
      </w:r>
    </w:p>
    <w:p>
      <w:pPr>
        <w:pStyle w:val="Heading1"/>
      </w:pPr>
      <w:bookmarkStart w:id="39" w:name="sankey"/>
      <w:r>
        <w:t xml:space="preserve">sankey</w:t>
      </w:r>
      <w:bookmarkEnd w:id="39"/>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Heading2"/>
      </w:pPr>
      <w:bookmarkStart w:id="40" w:name="top-x-doc"/>
      <w:r>
        <w:t xml:space="preserve">top x doc</w:t>
      </w:r>
      <w:bookmarkEnd w:id="40"/>
    </w:p>
    <w:p>
      <w:pPr>
        <w:pStyle w:val="Heading1"/>
      </w:pPr>
      <w:bookmarkStart w:id="41" w:name="gen"/>
      <w:r>
        <w:t xml:space="preserve">Social Science Genres Today</w:t>
      </w:r>
      <w:bookmarkEnd w:id="41"/>
    </w:p>
    <w:p>
      <w:pPr>
        <w:pStyle w:val="Heading4"/>
      </w:pPr>
      <w:bookmarkStart w:id="42" w:name="abstract-1"/>
      <w:r>
        <w:t xml:space="preserve">Abstract</w:t>
      </w:r>
      <w:bookmarkEnd w:id="42"/>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43" w:name="keywords-1"/>
      <w:r>
        <w:t xml:space="preserve">Keywords</w:t>
      </w:r>
      <w:bookmarkEnd w:id="43"/>
    </w:p>
    <w:p>
      <w:pPr>
        <w:pStyle w:val="FirstParagraph"/>
      </w:pPr>
      <w:r>
        <w:t xml:space="preserve">genre, social science, knowledge mapping, labeling, cognition</w:t>
      </w:r>
    </w:p>
    <w:p>
      <w:pPr>
        <w:pStyle w:val="Heading2"/>
      </w:pPr>
      <w:bookmarkStart w:id="44" w:name="introduction-1"/>
      <w:r>
        <w:t xml:space="preserve">Introduction</w:t>
      </w:r>
      <w:bookmarkEnd w:id="44"/>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45" w:name="taste"/>
      <w:r>
        <w:t xml:space="preserve">Taste</w:t>
      </w:r>
      <w:bookmarkEnd w:id="45"/>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r>
        <w:rPr>
          <w:b/>
        </w:rPr>
        <w:t xml:space="preserve">???</w:t>
      </w:r>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46" w:name="structuralist"/>
      <w:r>
        <w:t xml:space="preserve">Structuralist</w:t>
      </w:r>
      <w:bookmarkEnd w:id="46"/>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47" w:name="culture"/>
      <w:r>
        <w:t xml:space="preserve">Culture</w:t>
      </w:r>
      <w:bookmarkEnd w:id="47"/>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48" w:name="Xe6e2354489a4d0f8ece1c96b929cc740021d175"/>
      <w:r>
        <w:t xml:space="preserve">Genre, Profession, and Cultural Morphodynamics</w:t>
      </w:r>
      <w:bookmarkEnd w:id="48"/>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49" w:name="generic-vs-typical"/>
      <w:r>
        <w:t xml:space="preserve">Generic vs Typical</w:t>
      </w:r>
      <w:bookmarkEnd w:id="49"/>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50" w:name="kd-dq1"/>
      <w:r>
        <w:t xml:space="preserve">JSTOR Journals</w:t>
      </w:r>
      <w:bookmarkEnd w:id="50"/>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w:t>
      </w:r>
      <w:r>
        <w:rPr>
          <w:b/>
        </w:rPr>
        <w:t xml:space="preserve">???</w:t>
      </w:r>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51"/>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52" w:name="network-mode-projection"/>
      <w:r>
        <w:t xml:space="preserve">Network Mode Projection</w:t>
      </w:r>
      <w:bookmarkEnd w:id="52"/>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2</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2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2</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five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54" w:name="network-community-detection"/>
      <w:r>
        <w:t xml:space="preserve">Network Community Detection</w:t>
      </w:r>
      <w:bookmarkEnd w:id="54"/>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w:t>
      </w:r>
      <w:r>
        <w:t xml:space="preserve"> </w:t>
      </w:r>
      <w:r>
        <w:rPr>
          <w:b/>
        </w:rPr>
        <w:t xml:space="preserve">???</w:t>
      </w:r>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w:t>
      </w:r>
      <w:r>
        <w:rPr>
          <w:b/>
        </w:rPr>
        <w:t xml:space="preserve">???</w:t>
      </w:r>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w:t>
      </w:r>
      <w:r>
        <w:rPr>
          <w:b/>
        </w:rPr>
        <w:t xml:space="preserve">???</w:t>
      </w:r>
      <w:r>
        <w:t xml:space="preserve">)</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55" w:name="network-visualization"/>
      <w:r>
        <w:t xml:space="preserve">Network Visualization</w:t>
      </w:r>
      <w:bookmarkEnd w:id="55"/>
    </w:p>
    <w:p>
      <w:pPr>
        <w:pStyle w:val="FirstParagraph"/>
      </w:pPr>
      <w:r>
        <w:t xml:space="preserve">Figure</w:t>
      </w:r>
      <w:r>
        <w:t xml:space="preserve"> </w:t>
      </w:r>
      <w:r>
        <w:t xml:space="preserve">3</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w:t>
      </w:r>
      <w:r>
        <w:t xml:space="preserve"> </w:t>
      </w:r>
      <w:r>
        <w:rPr>
          <w:b/>
        </w:rPr>
        <w:t xml:space="preserve">???</w:t>
      </w:r>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3</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3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4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58" w:name="cit"/>
      <w:r>
        <w:t xml:space="preserve">The Social Science Citation Landscape, 1900-1940</w:t>
      </w:r>
      <w:bookmarkEnd w:id="58"/>
    </w:p>
    <w:p>
      <w:pPr>
        <w:pStyle w:val="Heading4"/>
      </w:pPr>
      <w:bookmarkStart w:id="59" w:name="abstract-2"/>
      <w:r>
        <w:t xml:space="preserve">Abstract</w:t>
      </w:r>
      <w:bookmarkEnd w:id="59"/>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60" w:name="keywords-2"/>
      <w:r>
        <w:t xml:space="preserve">Keywords</w:t>
      </w:r>
      <w:bookmarkEnd w:id="60"/>
    </w:p>
    <w:p>
      <w:pPr>
        <w:pStyle w:val="FirstParagraph"/>
      </w:pPr>
      <w:r>
        <w:t xml:space="preserve">citations, k-clique communities, community detection, landscape</w:t>
      </w:r>
    </w:p>
    <w:p>
      <w:pPr>
        <w:pStyle w:val="Heading2"/>
      </w:pPr>
      <w:bookmarkStart w:id="61" w:name="introduction-2"/>
      <w:r>
        <w:t xml:space="preserve">Introduction</w:t>
      </w:r>
      <w:bookmarkEnd w:id="61"/>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62" w:name="Xf61af20cabc0021a16601ae4546e6d08ea8b12d"/>
      <w:r>
        <w:t xml:space="preserve">Scholarly Communication vs Knowledge Terrain</w:t>
      </w:r>
      <w:bookmarkEnd w:id="62"/>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63" w:name="wok"/>
      <w:r>
        <w:t xml:space="preserve">Mapping Knowledge Terrain</w:t>
      </w:r>
      <w:bookmarkEnd w:id="63"/>
    </w:p>
    <w:p>
      <w:pPr>
        <w:pStyle w:val="Heading4"/>
      </w:pPr>
      <w:bookmarkStart w:id="64" w:name="knowledge-stuff"/>
      <w:r>
        <w:t xml:space="preserve">knowledge stuff</w:t>
      </w:r>
      <w:bookmarkEnd w:id="64"/>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w:t>
      </w:r>
      <w:r>
        <w:rPr>
          <w:b/>
        </w:rPr>
        <w:t xml:space="preserve">???</w:t>
      </w:r>
      <w:r>
        <w:t xml:space="preserve">)</w:t>
      </w:r>
    </w:p>
    <w:p>
      <w:pPr>
        <w:pStyle w:val="Heading3"/>
      </w:pPr>
      <w:bookmarkStart w:id="65" w:name="X149e5b3b957ca88293814dc48bcf2d2e8d36b2a"/>
      <w:r>
        <w:t xml:space="preserve">Disciplines as a Large World Co-reference Network</w:t>
      </w:r>
      <w:bookmarkEnd w:id="65"/>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66" w:name="methods"/>
      <w:r>
        <w:t xml:space="preserve">Methods</w:t>
      </w:r>
      <w:bookmarkEnd w:id="66"/>
    </w:p>
    <w:p>
      <w:pPr>
        <w:pStyle w:val="Heading2"/>
      </w:pPr>
      <w:bookmarkStart w:id="67" w:name="data-1"/>
      <w:r>
        <w:t xml:space="preserve">Data</w:t>
      </w:r>
      <w:bookmarkEnd w:id="67"/>
    </w:p>
    <w:p>
      <w:pPr>
        <w:pStyle w:val="Heading2"/>
      </w:pPr>
      <w:bookmarkStart w:id="68" w:name="results"/>
      <w:r>
        <w:t xml:space="preserve">Results</w:t>
      </w:r>
      <w:bookmarkEnd w:id="68"/>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5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K-clique Community Structure (</w:t>
      </w:r>
      <w:hyperlink r:id="rId70">
        <w:r>
          <w:rPr>
            <w:rStyle w:val="Hyperlink"/>
          </w:rPr>
          <w:t xml:space="preserve">popout</w:t>
        </w:r>
      </w:hyperlink>
      <w:r>
        <w:t xml:space="preserve">)</w:t>
      </w:r>
    </w:p>
    <w:p>
      <w:pPr>
        <w:pStyle w:val="BodyText"/>
      </w:pPr>
      <w:r>
        <w:t xml:space="preserve">Figure</w:t>
      </w:r>
      <w:r>
        <w:t xml:space="preserve"> </w:t>
      </w:r>
      <w:r>
        <w:t xml:space="preserve">(fig:kcc2tree) 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71" w:name="continents"/>
      <w:r>
        <w:t xml:space="preserve">Continents</w:t>
      </w:r>
      <w:bookmarkEnd w:id="71"/>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6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72"/>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6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(fig:flat-isle), comes from four authors publishing in the same 1930</w:t>
      </w:r>
      <w:r>
        <w:t xml:space="preserve"> </w:t>
      </w:r>
      <w:hyperlink r:id="rId73">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74">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(tab:iss-int) enumerates issue introductions and shows how many are the structuring article in their community.</w:t>
      </w:r>
    </w:p>
    <w:p>
      <w:pPr>
        <w:pStyle w:val="CaptionedFigure"/>
      </w:pPr>
      <w:r>
        <w:drawing>
          <wp:inline>
            <wp:extent cx="5334000" cy="3429000"/>
            <wp:effectExtent b="0" l="0" r="0" t="0"/>
            <wp:docPr descr="Figure 7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75"/>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7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8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Hill Isle in Graph Layout</w:t>
      </w:r>
    </w:p>
    <w:p>
      <w:pPr>
        <w:pStyle w:val="Heading3"/>
      </w:pPr>
      <w:bookmarkStart w:id="77" w:name="peaks"/>
      <w:r>
        <w:t xml:space="preserve">Peaks</w:t>
      </w:r>
      <w:bookmarkEnd w:id="77"/>
    </w:p>
    <w:p>
      <w:pPr>
        <w:pStyle w:val="FirstParagraph"/>
      </w:pPr>
      <w:r>
        <w:t xml:space="preserve">The KCC model reveals</w:t>
      </w:r>
    </w:p>
    <w:p>
      <w:pPr>
        <w:pStyle w:val="Heading3"/>
      </w:pPr>
      <w:bookmarkStart w:id="78" w:name="valleys"/>
      <w:r>
        <w:t xml:space="preserve">Valleys</w:t>
      </w:r>
      <w:bookmarkEnd w:id="78"/>
    </w:p>
    <w:p>
      <w:pPr>
        <w:pStyle w:val="Heading3"/>
      </w:pPr>
      <w:bookmarkStart w:id="79" w:name="X21da6a0927de4cd993063a9db3281001f5ac2e7"/>
      <w:r>
        <w:t xml:space="preserve">Do reference lists describe author knowledge?</w:t>
      </w:r>
      <w:bookmarkEnd w:id="79"/>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80" w:name="voc"/>
      <w:r>
        <w:t xml:space="preserve">Vocabularies of Anthropology and Sociology, 1888-1922</w:t>
      </w:r>
      <w:bookmarkEnd w:id="80"/>
    </w:p>
    <w:p>
      <w:pPr>
        <w:pStyle w:val="Heading4"/>
      </w:pPr>
      <w:bookmarkStart w:id="81" w:name="abstract-3"/>
      <w:r>
        <w:t xml:space="preserve">Abstract</w:t>
      </w:r>
      <w:bookmarkEnd w:id="81"/>
    </w:p>
    <w:p>
      <w:pPr>
        <w:pStyle w:val="FirstParagraph"/>
      </w:pPr>
      <w:r>
        <w:t xml:space="preserve">Knowledge development of journals is measured as the change in topic prevalence over time.</w:t>
      </w:r>
    </w:p>
    <w:p>
      <w:pPr>
        <w:pStyle w:val="Heading4"/>
      </w:pPr>
      <w:bookmarkStart w:id="82" w:name="keywords-3"/>
      <w:r>
        <w:t xml:space="preserve">Keywords</w:t>
      </w:r>
      <w:bookmarkEnd w:id="82"/>
    </w:p>
    <w:p>
      <w:pPr>
        <w:pStyle w:val="FirstParagraph"/>
      </w:pPr>
      <w:r>
        <w:t xml:space="preserve">sociology of knowledge, topic modeling, history of social science</w:t>
      </w:r>
    </w:p>
    <w:p>
      <w:pPr>
        <w:pStyle w:val="Heading2"/>
      </w:pPr>
      <w:bookmarkStart w:id="83" w:name="kd"/>
      <w:r>
        <w:t xml:space="preserve">Knowledge Development</w:t>
      </w:r>
      <w:bookmarkEnd w:id="83"/>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84" w:name="kd-dq2"/>
      <w:r>
        <w:t xml:space="preserve">Social Science Journals</w:t>
      </w:r>
      <w:bookmarkEnd w:id="84"/>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9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Periods in the Growth of the Number of Social Science Journals in the JSTOR Archive</w:t>
      </w:r>
    </w:p>
    <w:p>
      <w:pPr>
        <w:pStyle w:val="CaptionedFigure"/>
      </w:pPr>
      <w:r>
        <w:drawing>
          <wp:inline>
            <wp:extent cx="5334000" cy="4267200"/>
            <wp:effectExtent b="0" l="0" r="0" t="0"/>
            <wp:docPr descr="Figure 10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Decennial growth in number of PhD degrees conferred in the U.S.</w:t>
      </w:r>
    </w:p>
    <w:p>
      <w:pPr>
        <w:pStyle w:val="CaptionedFigure"/>
      </w:pPr>
      <w:r>
        <w:drawing>
          <wp:inline>
            <wp:extent cx="5334000" cy="4267200"/>
            <wp:effectExtent b="0" l="0" r="0" t="0"/>
            <wp:docPr descr="Figure 11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88" w:name="topics-ideas"/>
      <w:r>
        <w:t xml:space="preserve">Topics ≟ Ideas</w:t>
      </w:r>
      <w:bookmarkEnd w:id="88"/>
    </w:p>
    <w:p>
      <w:pPr>
        <w:pStyle w:val="FirstParagraph"/>
      </w:pPr>
      <w:r>
        <w:t xml:space="preserve">The strategy of the study occurs in four steps.</w:t>
      </w:r>
    </w:p>
    <w:p>
      <w:pPr>
        <w:pStyle w:val="Compact"/>
        <w:numPr>
          <w:numId w:val="1003"/>
          <w:ilvl w:val="0"/>
        </w:numPr>
      </w:pPr>
      <w:r>
        <w:t xml:space="preserve">Sort text into categories of similar vocabulary.</w:t>
      </w:r>
    </w:p>
    <w:p>
      <w:pPr>
        <w:pStyle w:val="Compact"/>
        <w:numPr>
          <w:numId w:val="1003"/>
          <w:ilvl w:val="0"/>
        </w:numPr>
      </w:pPr>
      <w:r>
        <w:t xml:space="preserve">Describe the vocabularies that define category membership.</w:t>
      </w:r>
    </w:p>
    <w:p>
      <w:pPr>
        <w:pStyle w:val="Compact"/>
        <w:numPr>
          <w:numId w:val="1003"/>
          <w:ilvl w:val="0"/>
        </w:numPr>
      </w:pPr>
      <w:r>
        <w:t xml:space="preserve">Describe vocabulary prevalence across time and discipline.</w:t>
      </w:r>
    </w:p>
    <w:p>
      <w:pPr>
        <w:pStyle w:val="Compact"/>
        <w:numPr>
          <w:numId w:val="1003"/>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89" w:name="kd-lit"/>
      <w:r>
        <w:t xml:space="preserve">Prior Work</w:t>
      </w:r>
      <w:bookmarkEnd w:id="89"/>
    </w:p>
    <w:p>
      <w:pPr>
        <w:pStyle w:val="Heading2"/>
      </w:pPr>
      <w:bookmarkStart w:id="90" w:name="information"/>
      <w:r>
        <w:t xml:space="preserve">Information</w:t>
      </w:r>
      <w:bookmarkEnd w:id="90"/>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w:t>
      </w:r>
      <w:r>
        <w:rPr>
          <w:b/>
        </w:rPr>
        <w:t xml:space="preserve">???</w:t>
      </w:r>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91" w:name="meaning"/>
      <w:r>
        <w:t xml:space="preserve">Meaning</w:t>
      </w:r>
      <w:bookmarkEnd w:id="91"/>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92" w:name="communication"/>
      <w:r>
        <w:t xml:space="preserve">Communication</w:t>
      </w:r>
      <w:bookmarkEnd w:id="92"/>
    </w:p>
    <w:p>
      <w:pPr>
        <w:pStyle w:val="FirstParagraph"/>
      </w:pPr>
      <w:r>
        <w:t xml:space="preserve">representational style</w:t>
      </w:r>
      <w:r>
        <w:t xml:space="preserve"> </w:t>
      </w:r>
      <w:r>
        <w:t xml:space="preserve">(</w:t>
      </w:r>
      <w:r>
        <w:rPr>
          <w:b/>
        </w:rPr>
        <w:t xml:space="preserve">???</w:t>
      </w:r>
      <w:r>
        <w:t xml:space="preserve">)</w:t>
      </w:r>
      <w:r>
        <w:t xml:space="preserve"> </w:t>
      </w:r>
      <w:r>
        <w:t xml:space="preserve">frame</w:t>
      </w:r>
      <w:r>
        <w:t xml:space="preserve"> </w:t>
      </w:r>
      <w:r>
        <w:t xml:space="preserve">(</w:t>
      </w:r>
      <w:r>
        <w:rPr>
          <w:b/>
        </w:rPr>
        <w:t xml:space="preserve">???</w:t>
      </w:r>
      <w:r>
        <w:t xml:space="preserve">)</w:t>
      </w:r>
    </w:p>
    <w:p>
      <w:pPr>
        <w:pStyle w:val="Heading2"/>
      </w:pPr>
      <w:bookmarkStart w:id="93" w:name="full-text"/>
      <w:r>
        <w:t xml:space="preserve">Full-Text</w:t>
      </w:r>
      <w:bookmarkEnd w:id="93"/>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w:t>
      </w:r>
      <w:r>
        <w:rPr>
          <w:b/>
        </w:rPr>
        <w:t xml:space="preserve">???</w:t>
      </w:r>
      <w:r>
        <w:t xml:space="preserve">)</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94" w:name="kd-dd"/>
      <w:r>
        <w:t xml:space="preserve">Data</w:t>
      </w:r>
      <w:bookmarkEnd w:id="94"/>
    </w:p>
    <w:p>
      <w:pPr>
        <w:pStyle w:val="FirstParagraph"/>
      </w:pPr>
      <w:r>
        <w:t xml:space="preserve">Every record for every journal was downloaded manually, including front and back matter, articles, and book reviews.</w:t>
      </w:r>
    </w:p>
    <w:p>
      <w:pPr>
        <w:pStyle w:val="Heading2"/>
      </w:pPr>
      <w:bookmarkStart w:id="95" w:name="kd-dp1"/>
      <w:r>
        <w:t xml:space="preserve">Sampling</w:t>
      </w:r>
      <w:bookmarkEnd w:id="95"/>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96" w:name="units-of-analysis"/>
      <w:r>
        <w:t xml:space="preserve">Units of Analysis</w:t>
      </w:r>
      <w:bookmarkEnd w:id="96"/>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97" w:name="kd-dp2"/>
      <w:r>
        <w:t xml:space="preserve">Topics</w:t>
      </w:r>
      <w:bookmarkEnd w:id="97"/>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98" w:name="how-many-topics"/>
      <w:r>
        <w:t xml:space="preserve">How many topics?</w:t>
      </w:r>
      <w:bookmarkEnd w:id="98"/>
    </w:p>
    <w:p>
      <w:pPr>
        <w:pStyle w:val="CaptionedFigure"/>
      </w:pPr>
      <w:r>
        <w:drawing>
          <wp:inline>
            <wp:extent cx="4620126" cy="3696101"/>
            <wp:effectExtent b="0" l="0" r="0" t="0"/>
            <wp:docPr descr="Figure 12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13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Significant Counts of K</w:t>
      </w:r>
    </w:p>
    <w:p>
      <w:pPr>
        <w:pStyle w:val="Heading2"/>
      </w:pPr>
      <w:bookmarkStart w:id="101" w:name="model-selection"/>
      <w:r>
        <w:t xml:space="preserve">Model selection</w:t>
      </w:r>
      <w:bookmarkEnd w:id="101"/>
    </w:p>
    <w:p>
      <w:pPr>
        <w:pStyle w:val="Heading1"/>
      </w:pPr>
      <w:bookmarkStart w:id="102" w:name="ten"/>
      <w:r>
        <w:t xml:space="preserve">The Development of Intensive Referencing</w:t>
      </w:r>
      <w:bookmarkEnd w:id="102"/>
    </w:p>
    <w:p>
      <w:pPr>
        <w:pStyle w:val="Heading4"/>
      </w:pPr>
      <w:bookmarkStart w:id="103" w:name="abstract-4"/>
      <w:r>
        <w:t xml:space="preserve">Abstract</w:t>
      </w:r>
      <w:bookmarkEnd w:id="103"/>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04" w:name="keywords-4"/>
      <w:r>
        <w:t xml:space="preserve">Keywords</w:t>
      </w:r>
      <w:bookmarkEnd w:id="104"/>
    </w:p>
    <w:p>
      <w:pPr>
        <w:pStyle w:val="FirstParagraph"/>
      </w:pPr>
      <w:r>
        <w:t xml:space="preserve">poisson, permutation test, historical development, citation, bibliometry, history of social science</w:t>
      </w:r>
    </w:p>
    <w:p>
      <w:pPr>
        <w:pStyle w:val="BodyText"/>
      </w:pPr>
      <w:r>
        <w:t xml:space="preserve">##intro</w:t>
      </w:r>
      <w:r>
        <w:t xml:space="preserve"> </w:t>
      </w: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05" w:name="method-1"/>
      <w:r>
        <w:t xml:space="preserve">method</w:t>
      </w:r>
      <w:bookmarkEnd w:id="105"/>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06" w:name="lit-review"/>
      <w:r>
        <w:t xml:space="preserve">lit review</w:t>
      </w:r>
      <w:bookmarkEnd w:id="106"/>
    </w:p>
    <w:bookmarkStart w:id="119" w:name="refs"/>
    <w:bookmarkStart w:id="107"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07"/>
    <w:bookmarkStart w:id="108"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08"/>
    <w:bookmarkStart w:id="109"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09"/>
    <w:bookmarkStart w:id="110"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10"/>
    <w:bookmarkStart w:id="111"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11"/>
    <w:bookmarkStart w:id="112"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12"/>
    <w:bookmarkStart w:id="113"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13"/>
    <w:bookmarkStart w:id="114"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14"/>
    <w:bookmarkStart w:id="115" w:name="ref-Morville2009Ambient"/>
    <w:p>
      <w:pPr>
        <w:pStyle w:val="Bibliography"/>
      </w:pPr>
      <w:r>
        <w:t xml:space="preserve">Morville, Peter. 2009.</w:t>
      </w:r>
      <w:r>
        <w:t xml:space="preserve"> </w:t>
      </w:r>
      <w:r>
        <w:rPr>
          <w:i/>
        </w:rPr>
        <w:t xml:space="preserve">Ambient Findability</w:t>
      </w:r>
      <w:r>
        <w:t xml:space="preserve">. O’Reilly.</w:t>
      </w:r>
    </w:p>
    <w:bookmarkEnd w:id="115"/>
    <w:bookmarkStart w:id="116"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16"/>
    <w:bookmarkStart w:id="117"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17"/>
    <w:bookmarkStart w:id="118"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1">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85" Target="media/rId85.png" /><Relationship Type="http://schemas.openxmlformats.org/officeDocument/2006/relationships/image" Id="rId76" Target="media/rId76.png" /><Relationship Type="http://schemas.openxmlformats.org/officeDocument/2006/relationships/image" Id="rId69" Target="media/rId69.png" /><Relationship Type="http://schemas.openxmlformats.org/officeDocument/2006/relationships/image" Id="rId57" Target="media/rId57.png" /><Relationship Type="http://schemas.openxmlformats.org/officeDocument/2006/relationships/image" Id="rId100" Target="media/rId100.png" /><Relationship Type="http://schemas.openxmlformats.org/officeDocument/2006/relationships/image" Id="rId53" Target="media/rId53.png" /><Relationship Type="http://schemas.openxmlformats.org/officeDocument/2006/relationships/image" Id="rId87" Target="media/rId87.png" /><Relationship Type="http://schemas.openxmlformats.org/officeDocument/2006/relationships/image" Id="rId86" Target="media/rId86.png" /><Relationship Type="http://schemas.openxmlformats.org/officeDocument/2006/relationships/image" Id="rId99" Target="media/rId9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73" Target="https://www.jstor.org/stable/i40084238" TargetMode="External" /><Relationship Type="http://schemas.openxmlformats.org/officeDocument/2006/relationships/hyperlink" Id="rId74" Target="https://www.jstor.org/stable/i40084262" TargetMode="External" /><Relationship Type="http://schemas.openxmlformats.org/officeDocument/2006/relationships/hyperlink" Id="rId70"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73" Target="https://www.jstor.org/stable/i40084238" TargetMode="External" /><Relationship Type="http://schemas.openxmlformats.org/officeDocument/2006/relationships/hyperlink" Id="rId74" Target="https://www.jstor.org/stable/i40084262" TargetMode="External" /><Relationship Type="http://schemas.openxmlformats.org/officeDocument/2006/relationships/hyperlink" Id="rId70"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2019-07-05T23:06:04Z</dcterms:created>
  <dcterms:modified xsi:type="dcterms:W3CDTF">2019-07-05T23:06:04Z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2019-07-05</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