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6.png" ContentType="image/png"/>
  <Override PartName="/word/media/rId37.png" ContentType="image/png"/>
  <Override PartName="/word/media/rId51.png" ContentType="image/png"/>
  <Override PartName="/word/media/rId49.png" ContentType="image/png"/>
  <Override PartName="/word/media/rId73.png" ContentType="image/png"/>
  <Override PartName="/word/media/rId102.png" ContentType="image/png"/>
  <Override PartName="/word/media/rId93.png" ContentType="image/png"/>
  <Override PartName="/word/media/rId86.png" ContentType="image/png"/>
  <Override PartName="/word/media/rId74.png" ContentType="image/png"/>
  <Override PartName="/word/media/rId117.png" ContentType="image/png"/>
  <Override PartName="/word/media/rId70.png" ContentType="image/png"/>
  <Override PartName="/word/media/rId104.png" ContentType="image/png"/>
  <Override PartName="/word/media/rId103.png" ContentType="image/png"/>
  <Override PartName="/word/media/rId116.png" ContentType="image/png"/>
  <Override PartName="/word/media/rId54.png" ContentType="image/png"/>
  <Override PartName="/word/media/rId35.png" ContentType="image/png"/>
  <Override PartName="/word/media/rId36.png" ContentType="image/png"/>
  <Override PartName="/word/media/rId53.png" ContentType="image/png"/>
  <Override PartName="/word/media/rId89.png" ContentType="image/png"/>
  <Override PartName="/word/media/rId92.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rigourous,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BodyText"/>
      </w:pPr>
      <w:r>
        <w:t xml:space="preserve">Figure</w:t>
      </w:r>
      <w:r>
        <w:t xml:space="preserve"> </w:t>
      </w:r>
      <w:r>
        <w:t xml:space="preserve">2</w:t>
      </w:r>
      <w:r>
        <w:t xml:space="preserve"> </w:t>
      </w:r>
      <w:r>
        <w:t xml:space="preserve">shows the count of mentions of the term genre in the Google Books Ngram database for English terms</w:t>
      </w:r>
      <w:r>
        <w:t xml:space="preserve"> </w:t>
      </w:r>
      <w:r>
        <w:t xml:space="preserve">(Michel et al.</w:t>
      </w:r>
      <w:r>
        <w:t xml:space="preserve"> </w:t>
      </w:r>
      <w:hyperlink w:anchor="ref-Michel2011Quantitative">
        <w:r>
          <w:rPr>
            <w:rStyle w:val="Hyperlink"/>
          </w:rPr>
          <w:t xml:space="preserve">2011</w:t>
        </w:r>
      </w:hyperlink>
      <w:r>
        <w:t xml:space="preserve">)</w:t>
      </w:r>
      <w:r>
        <w:t xml:space="preserve">. The trend exhibits the typical take-off in publishing in the second half of the twentieth century. I apply change point analysis, which detects significant differences in time series data</w:t>
      </w:r>
      <w:r>
        <w:t xml:space="preserve"> </w:t>
      </w:r>
      <w:r>
        <w:t xml:space="preserve">(James and Matteson</w:t>
      </w:r>
      <w:r>
        <w:t xml:space="preserve"> </w:t>
      </w:r>
      <w:hyperlink w:anchor="ref-James2019ecp">
        <w:r>
          <w:rPr>
            <w:rStyle w:val="Hyperlink"/>
          </w:rPr>
          <w:t xml:space="preserve">2019</w:t>
        </w:r>
      </w:hyperlink>
      <w:r>
        <w:t xml:space="preserve">; Matteson and James</w:t>
      </w:r>
      <w:r>
        <w:t xml:space="preserve"> </w:t>
      </w:r>
      <w:hyperlink w:anchor="ref-Matteson2013Nonparametric">
        <w:r>
          <w:rPr>
            <w:rStyle w:val="Hyperlink"/>
          </w:rPr>
          <w:t xml:space="preserve">2013</w:t>
        </w:r>
      </w:hyperlink>
      <w:r>
        <w:t xml:space="preserve">)</w:t>
      </w:r>
      <w:r>
        <w:t xml:space="preserve">, to the second difference of the trend, a measure of acceleration, to get clues as to whether the trend is a single process or whether there are inflection points. The first segment of the curve from 1899 to 1984 indicates a period of positive acceleration or quickening of the growth trend. On average in the first period the rate of change from one year to the next increased by a modest 13.3 occurences a year. However, during the period from 1985 to 2008 the rate of change, though always steep, began to decline by an average of 238.3 occurences a year. Like a projectile that is simultanously climbing and falling, 1984 acts as launch point of precipitous yet unsustainable growth.</w:t>
      </w:r>
    </w:p>
    <w:p>
      <w:pPr>
        <w:pStyle w:val="CaptionedFigure"/>
      </w:pPr>
      <w:r>
        <w:drawing>
          <wp:inline>
            <wp:extent cx="4620126" cy="3696101"/>
            <wp:effectExtent b="0" l="0" r="0" t="0"/>
            <wp:docPr descr="Figure 2 Absolute count of term “genre”, 1901-2008. Segments correspond to significantly different second derivatives."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Absolute count of term</w:t>
      </w:r>
      <w:r>
        <w:t xml:space="preserve"> </w:t>
      </w:r>
      <w:r>
        <w:t xml:space="preserve">“</w:t>
      </w:r>
      <w:r>
        <w:t xml:space="preserve">genre</w:t>
      </w:r>
      <w:r>
        <w:t xml:space="preserve">”</w:t>
      </w:r>
      <w:r>
        <w:t xml:space="preserve">, 1901-2008. Segments correspond to significantly different second derivatives.</w:t>
      </w:r>
    </w:p>
    <w:p>
      <w:pPr>
        <w:pStyle w:val="BodyText"/>
      </w:pPr>
      <w:r>
        <w:t xml:space="preserve">Figure</w:t>
      </w:r>
      <w:r>
        <w:t xml:space="preserve"> </w:t>
      </w:r>
      <w:r>
        <w:t xml:space="preserve">3</w:t>
      </w:r>
      <w:r>
        <w:t xml:space="preserve"> </w:t>
      </w:r>
      <w:r>
        <w:t xml:space="preserve">shows a similar trend but using relative frequencies instead of absolute counts. Here</w:t>
      </w:r>
      <w:r>
        <w:t xml:space="preserve"> </w:t>
      </w:r>
      <w:r>
        <w:t xml:space="preserve">“</w:t>
      </w:r>
      <w:r>
        <w:t xml:space="preserve">genre</w:t>
      </w:r>
      <w:r>
        <w:t xml:space="preserve">”</w:t>
      </w:r>
      <w:r>
        <w:t xml:space="preserve"> </w:t>
      </w:r>
      <w:r>
        <w:t xml:space="preserve">is plotted as its share of all terms in the corpus. This trend exhibits no inflection point at 1984 that is statistically significant, and visually the trend does appear the same on both sides. No other inflections points are detectable due likely to greater year over year variability in this series in the first half of the century, reducing confidence in any estimate of a change point. To interpret this difference in statistical significance between relative and absolute measures would indicate that interest in genre continued to grow even within a secular slow-down in the volume of texts that resembles the familiar S-shaped diffusion curve. Alternatively, on visual inspection of the relative curve it appears that indeed there is an inflection point, just one a decade later in 1996. After this point the relative frequency seems to drop rapidly, a change that would no doubt be picked up statistically after a few more years of data and one that may in fact be located a few years earlier than the peak suggests. Together these trends describe a career to the term genre that has been strong for a century and that may now be in decline.</w:t>
      </w:r>
    </w:p>
    <w:p>
      <w:pPr>
        <w:pStyle w:val="CaptionedFigure"/>
      </w:pPr>
      <w:r>
        <w:drawing>
          <wp:inline>
            <wp:extent cx="4620126" cy="3696101"/>
            <wp:effectExtent b="0" l="0" r="0" t="0"/>
            <wp:docPr descr="Figure 3 Relative frequency of term “genre”, 1901-2008." title="" id="1" name="Picture"/>
            <a:graphic>
              <a:graphicData uri="http://schemas.openxmlformats.org/drawingml/2006/picture">
                <pic:pic>
                  <pic:nvPicPr>
                    <pic:cNvPr descr="ambrose_dissertation_files/figure-docx/ttsgn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Relative frequency of term</w:t>
      </w:r>
      <w:r>
        <w:t xml:space="preserve"> </w:t>
      </w:r>
      <w:r>
        <w:t xml:space="preserve">“</w:t>
      </w:r>
      <w:r>
        <w:t xml:space="preserve">genre</w:t>
      </w:r>
      <w:r>
        <w:t xml:space="preserve">”</w:t>
      </w:r>
      <w:r>
        <w:t xml:space="preserve">, 1901-2008.</w:t>
      </w:r>
    </w:p>
    <w:p>
      <w:pPr>
        <w:pStyle w:val="BodyText"/>
      </w:pPr>
      <w:r>
        <w:t xml:space="preserve">Figure</w:t>
      </w:r>
      <w:r>
        <w:t xml:space="preserve"> </w:t>
      </w:r>
      <w:r>
        <w:t xml:space="preserve">4</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w:t>
      </w:r>
      <w:r>
        <w:t xml:space="preserve">(Google</w:t>
      </w:r>
      <w:r>
        <w:t xml:space="preserve"> </w:t>
      </w:r>
      <w:hyperlink w:anchor="ref-2012Google">
        <w:r>
          <w:rPr>
            <w:rStyle w:val="Hyperlink"/>
          </w:rPr>
          <w:t xml:space="preserve">2012</w:t>
        </w:r>
      </w:hyperlink>
      <w:r>
        <w:t xml:space="preserve">)</w:t>
      </w:r>
      <w:r>
        <w:t xml:space="preserve">. The size of the words is proportional to the total frequency of the trigram in the English corpus, which spans centuries from 1590 to 2008.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Each of these terms refers to a field of concrete cultural products, with the exception of</w:t>
      </w:r>
      <w:r>
        <w:t xml:space="preserve"> </w:t>
      </w:r>
      <w:r>
        <w:t xml:space="preserve">“</w:t>
      </w:r>
      <w:r>
        <w:t xml:space="preserve">discourse</w:t>
      </w:r>
      <w:r>
        <w:t xml:space="preserve">”</w:t>
      </w:r>
      <w:r>
        <w:t xml:space="preserve"> </w:t>
      </w:r>
      <w:r>
        <w:t xml:space="preserve">which is more abstract.</w:t>
      </w:r>
    </w:p>
    <w:p>
      <w:pPr>
        <w:pStyle w:val="CaptionedFigure"/>
      </w:pPr>
      <w:r>
        <w:drawing>
          <wp:inline>
            <wp:extent cx="5334000" cy="4400550"/>
            <wp:effectExtent b="0" l="0" r="0" t="0"/>
            <wp:docPr descr="Figure 4 Wordcloud of third term in 3gram beginning with “genre of”." title="" id="1" name="Picture"/>
            <a:graphic>
              <a:graphicData uri="http://schemas.openxmlformats.org/drawingml/2006/picture">
                <pic:pic>
                  <pic:nvPicPr>
                    <pic:cNvPr descr="ambrose_dissertation_files/figure-docx/genre-goog-1.png" id="0" name="Picture"/>
                    <pic:cNvPicPr>
                      <a:picLocks noChangeArrowheads="1" noChangeAspect="1"/>
                    </pic:cNvPicPr>
                  </pic:nvPicPr>
                  <pic:blipFill>
                    <a:blip r:embed="rId37"/>
                    <a:stretch>
                      <a:fillRect/>
                    </a:stretch>
                  </pic:blipFill>
                  <pic:spPr bwMode="auto">
                    <a:xfrm>
                      <a:off x="0" y="0"/>
                      <a:ext cx="5334000" cy="4400550"/>
                    </a:xfrm>
                    <a:prstGeom prst="rect">
                      <a:avLst/>
                    </a:prstGeom>
                    <a:noFill/>
                    <a:ln w="9525">
                      <a:noFill/>
                      <a:headEnd/>
                      <a:tailEnd/>
                    </a:ln>
                  </pic:spPr>
                </pic:pic>
              </a:graphicData>
            </a:graphic>
          </wp:inline>
        </w:drawing>
      </w:r>
    </w:p>
    <w:p>
      <w:pPr>
        <w:pStyle w:val="ImageCaption"/>
      </w:pPr>
      <w:r>
        <w:t xml:space="preserve">Figure 4 Wordcloud of third term in 3gram beginning with</w:t>
      </w:r>
      <w:r>
        <w:t xml:space="preserve"> </w:t>
      </w:r>
      <w:r>
        <w:t xml:space="preserve">“</w:t>
      </w:r>
      <w:r>
        <w:t xml:space="preserve">genre of</w:t>
      </w:r>
      <w:r>
        <w:t xml:space="preserve">”</w:t>
      </w:r>
      <w:r>
        <w:t xml:space="preserve">.</w:t>
      </w:r>
    </w:p>
    <w:p>
      <w:pPr>
        <w:pStyle w:val="BodyText"/>
      </w:pPr>
      <w:r>
        <w:t xml:space="preserve">Most items toward the top of the list are less popular (to write about) art forms like television, dance, and theater. Toward the middle of the list begin to appear adaptations of the term from the cultural to the social context. These include practical fields like medicine and journalism, political areas like law, government, and crime, and social arenas like identity and protest.</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8" w:name="disciplines"/>
      <w:r>
        <w:t xml:space="preserve">Disciplines</w:t>
      </w:r>
      <w:bookmarkEnd w:id="38"/>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If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9" w:name="method"/>
      <w:r>
        <w:t xml:space="preserve">Method</w:t>
      </w:r>
      <w:bookmarkEnd w:id="39"/>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subersive of even more arbitrary club rules, namely those of educational pedigree, such that anyone willing to invest in a presentation of the genre definition will be granted access to the venues, if not the invisible colleges, of the subfield. To be admitted to the arena is no gaurantee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40" w:name="distant-sampling"/>
      <w:r>
        <w:t xml:space="preserve">Distant sampling</w:t>
      </w:r>
      <w:bookmarkEnd w:id="40"/>
    </w:p>
    <w:p>
      <w:pPr>
        <w:pStyle w:val="FirstParagraph"/>
      </w:pPr>
      <w:r>
        <w:t xml:space="preserve">The research strategy here attempts to parry the entropic tendency of the archive by substituting human for machine limits. The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1"/>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within a more or less global sampling frame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2" w:name="no-cigar"/>
      <w:r>
        <w:t xml:space="preserve">No cigar</w:t>
      </w:r>
      <w:bookmarkEnd w:id="42"/>
    </w:p>
    <w:p>
      <w:pPr>
        <w:pStyle w:val="FirstParagraph"/>
      </w:pPr>
      <w:r>
        <w:t xml:space="preserve">The popular yet maligned distant reading approach taken by digital humanists</w:t>
      </w:r>
      <w:r>
        <w:t xml:space="preserve"> </w:t>
      </w:r>
      <w:r>
        <w:t xml:space="preserve">(e.g. Moretti</w:t>
      </w:r>
      <w:r>
        <w:t xml:space="preserve"> </w:t>
      </w:r>
      <w:hyperlink w:anchor="ref-Moretti2005Graphs">
        <w:r>
          <w:rPr>
            <w:rStyle w:val="Hyperlink"/>
          </w:rPr>
          <w:t xml:space="preserve">2005</w:t>
        </w:r>
      </w:hyperlink>
      <w:r>
        <w:t xml:space="preserve">)</w:t>
      </w:r>
      <w:r>
        <w:t xml:space="preserve"> </w:t>
      </w:r>
      <w:r>
        <w:t xml:space="preserve">is being taken up with gusto by social scientists who are less skeptical of quantitative methods</w:t>
      </w:r>
      <w:r>
        <w:t xml:space="preserve"> </w:t>
      </w:r>
      <w:r>
        <w:t xml:space="preserve">(e.g. DiMaggio, Nag, and Blei</w:t>
      </w:r>
      <w:r>
        <w:t xml:space="preserve"> </w:t>
      </w:r>
      <w:hyperlink w:anchor="ref-DiMaggio2013Exploiting">
        <w:r>
          <w:rPr>
            <w:rStyle w:val="Hyperlink"/>
          </w:rPr>
          <w:t xml:space="preserve">2013</w:t>
        </w:r>
      </w:hyperlink>
      <w:r>
        <w:t xml:space="preserve">)</w:t>
      </w:r>
      <w:r>
        <w:t xml:space="preserve">.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3"/>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These representative texts will be subjected to a close reading, but their interpretation will be generalized to unread documents. Hence I call this a</w:t>
      </w:r>
      <w:r>
        <w:t xml:space="preserve"> </w:t>
      </w:r>
      <w:r>
        <w:t xml:space="preserve">“</w:t>
      </w:r>
      <w:r>
        <w:t xml:space="preserve">no cigar</w:t>
      </w:r>
      <w:r>
        <w:t xml:space="preserve">”</w:t>
      </w:r>
      <w:r>
        <w:t xml:space="preserve"> </w:t>
      </w:r>
      <w:r>
        <w:t xml:space="preserve">approach to reading, as in</w:t>
      </w:r>
      <w:r>
        <w:t xml:space="preserve"> </w:t>
      </w:r>
      <w:r>
        <w:t xml:space="preserve">“</w:t>
      </w:r>
      <w:r>
        <w:t xml:space="preserve">close but</w:t>
      </w:r>
      <w:r>
        <w:t xml:space="preserve">”</w:t>
      </w:r>
      <w:r>
        <w:t xml:space="preserve">. If on the contrary to the assumption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3"/>
      </w:pPr>
      <w:bookmarkStart w:id="44" w:name="topic-models"/>
      <w:r>
        <w:t xml:space="preserve">Topic Models</w:t>
      </w:r>
      <w:bookmarkEnd w:id="44"/>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 topic. A document with topic probabilities .7 from music and .3 from film would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a very limited sense. What the topic model really represents is how vocabularies are organized to condition an author’s diction. A vocabulary can be thought of as an infrastructure of meaning more trivial than grammar or syntax.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type of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statistical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w:t>
      </w:r>
    </w:p>
    <w:p>
      <w:pPr>
        <w:pStyle w:val="Heading3"/>
      </w:pPr>
      <w:bookmarkStart w:id="45" w:name="bias"/>
      <w:r>
        <w:t xml:space="preserve">Bias</w:t>
      </w:r>
      <w:bookmarkEnd w:id="45"/>
    </w:p>
    <w:p>
      <w:pPr>
        <w:pStyle w:val="FirstParagraph"/>
      </w:pPr>
      <w:r>
        <w:t xml:space="preserve">Before documenting the data preparation below, it is important to keep in mind several sampling and modeling considerations that tend to be overlooked. First, idiosyncracy is assumed to be unmodelable. A flaw of traditional topic models is that, at one level, all documents are generic. Originality exists only in novel admixtures of vocabularies held in common. Vocabularies that are limited to trivially small sets of works, be they idiosyncracies of content or style, become sources of bias to topic model estimators. Because idiosyncratic vocabulary is be definition rare, it lacks both the mass of frequency and distribution aross documents to be reliably picked up as a topic. Indeed, if each document were expected to contain some idiosycracy, then the number of topics needed to catch all of the idiosycracy would be equal to the number of texts in the corpus. Each document would then be a combination its own idiosyncratic topic (of which it would account for 100 of topic content) and a distribution over other topics held in common. The real number of topics would then be</w:t>
      </w:r>
      <w:r>
        <w:t xml:space="preserve"> </w:t>
      </w:r>
      <m:oMath>
        <m:r>
          <m:t>K</m:t>
        </m:r>
        <m:r>
          <m:t>+</m:t>
        </m:r>
        <m:r>
          <m:t>N</m:t>
        </m:r>
      </m:oMath>
      <w:r>
        <w:t xml:space="preserve"> </w:t>
      </w:r>
      <w:r>
        <w:t xml:space="preserve">where</w:t>
      </w:r>
      <w:r>
        <w:t xml:space="preserve"> </w:t>
      </w:r>
      <m:oMath>
        <m:r>
          <m:t>N</m:t>
        </m:r>
      </m:oMath>
      <w:r>
        <w:t xml:space="preserve"> </w:t>
      </w:r>
      <w:r>
        <w:t xml:space="preserve">is the number of texts and practically always much greater than</w:t>
      </w:r>
      <w:r>
        <w:t xml:space="preserve"> </w:t>
      </w:r>
      <m:oMath>
        <m:r>
          <m:t>K</m:t>
        </m:r>
      </m:oMath>
      <w:r>
        <w:t xml:space="preserve">. Researchers would balk at including such a large set of extraneous topics, while estimators would both be strained by the greater paramters space and would collide with hyperparamters designed to militate against estimating topics distributed only over a single document.</w:t>
      </w:r>
    </w:p>
    <w:p>
      <w:pPr>
        <w:pStyle w:val="BodyText"/>
      </w:pPr>
      <w:r>
        <w:t xml:space="preserve">The impracticality from a modeling perspective of representing idiosyncracy coincides with the undertheorized tendency among reseachers for extreme pruning of idiosyncracy during data preparation. A more parsimonious modeling solution would be to allow a single extra topic designed to catch all idiosyncracy. Yet this would tend to violate the assumptions behind construction of the other topics for two reasons, first because one topic would have significant distribution across all documents and second because terms within the topic would never be estimated together as they would really be a mixture of</w:t>
      </w:r>
      <w:r>
        <w:t xml:space="preserve"> </w:t>
      </w:r>
      <m:oMath>
        <m:r>
          <m:t>N</m:t>
        </m:r>
      </m:oMath>
      <w:r>
        <w:t xml:space="preserve"> </w:t>
      </w:r>
      <w:r>
        <w:t xml:space="preserve">uncorrelated subtopics.</w:t>
      </w:r>
    </w:p>
    <w:p>
      <w:pPr>
        <w:pStyle w:val="BodyText"/>
      </w:pPr>
      <w:r>
        <w:t xml:space="preserve">Idiosyncracy tends to be pruned in a desire to limit the length of the vocabulary to bring it within the bounds of computational power and the chances of a successful paramater optimization. Depending on the task, however, the researcher may not be so concerned with performance, and may leave plenty of idiosyncracy in the sample. What then is the effect on the topic estimation of such idiosycracy, since the idiosyncracy must end up somewhere?</w:t>
      </w:r>
    </w:p>
    <w:p>
      <w:pPr>
        <w:pStyle w:val="BodyText"/>
      </w:pPr>
      <w:r>
        <w:t xml:space="preserve">First, there will be a tendency to muddy the content of common topics with the particular idiosyncracies of the documents that happen to draw on them. This in part explains the long, non-zero tails of topic by term distributions, which are usually filtered out during post-estimation and interpretation of the models. We would however expect them to corrupt the error structure of the topic they contaminate, leading to suboptimal estmates of the true terms in the topic.</w:t>
      </w:r>
    </w:p>
    <w:p>
      <w:pPr>
        <w:pStyle w:val="BodyText"/>
      </w:pPr>
      <w:r>
        <w:t xml:space="preserve">Second, the document proportion of the contaminated topic will be inflated in the contaminating document. After all, the idiosyncracy of the document was represented, erroneously, in the contaminated topic. Because of the lengh of the term vector it is not difficult to imagine the truly pathological case wherein the probability sum of the false portion of the topic is greater than that of the true portion. In this event, a document could be categorized within a topic due more to the false content than to the true content, especially if the idiosyncracy was placed in topics randomly. Contrary to the effect of random error in an explanatory variable in ordinary least squares linear regression, which is to bias the regression coefficient downward, in a topic model the effect will be to bias the topic probabilty of a document upward.</w:t>
      </w:r>
    </w:p>
    <w:p>
      <w:pPr>
        <w:pStyle w:val="BodyText"/>
      </w:pPr>
      <w:r>
        <w:t xml:space="preserve">DiMaggio et al. (</w:t>
      </w:r>
      <w:hyperlink w:anchor="ref-DiMaggio2013Exploiting">
        <w:r>
          <w:rPr>
            <w:rStyle w:val="Hyperlink"/>
          </w:rPr>
          <w:t xml:space="preserve">2013</w:t>
        </w:r>
      </w:hyperlink>
      <w:r>
        <w:t xml:space="preserve">)</w:t>
      </w:r>
      <w:r>
        <w:t xml:space="preserve"> </w:t>
      </w:r>
      <w:r>
        <w:t xml:space="preserve">represent a typical albeit conservative approach to topic modeling as distant reading. Their data preparation of a newspaper corpus about U.S. arts policy in the 1980s and 1990s resulted in 54,982 unique terms and 7,598 documents</w:t>
      </w:r>
      <w:r>
        <w:t xml:space="preserve"> </w:t>
      </w:r>
      <w:r>
        <w:t xml:space="preserve">(</w:t>
      </w:r>
      <w:hyperlink w:anchor="ref-DiMaggio2013Exploiting">
        <w:r>
          <w:rPr>
            <w:rStyle w:val="Hyperlink"/>
          </w:rPr>
          <w:t xml:space="preserve">2013</w:t>
        </w:r>
      </w:hyperlink>
      <w:r>
        <w:t xml:space="preserve">:582)</w:t>
      </w:r>
      <w:r>
        <w:t xml:space="preserve">. This incredible dimensionality in the term vector, which eliminated only stopwords and a few hand-picked terms and did not stemming, represents a very conservative approach to term filtering admitting to no performance based truncation. They chose a model with 12 topics. Thus in a strict interpretation of their 12-topic model, we are to believe that the extreme idiosyncrasy of news, with all of its historical specificity, is contained in a noise or junk topic rather than creating bias on the estimation of the signal topics. With such a huge term mass to classify and so few topics in which to do it, it is incredible to think that the algorithm would alight on a junk topic rather than using that spot for a signal topic. It is plausible that the noise (and so offensive a term to those reporters trying to say something new!) is distributed across signal topics rather than being safely tossed in the dust bin. To wit, their choice of a low alpha parameter of 0.1, which assumes that each document is generated from relatively few topics, makes it even less likely that the estimator would spend precious parameter space on a noise rather than on a signal topic.</w:t>
      </w:r>
    </w:p>
    <w:p>
      <w:pPr>
        <w:pStyle w:val="BodyText"/>
      </w:pPr>
      <w:r>
        <w:t xml:space="preserve">DiMaggio et al. (</w:t>
      </w:r>
      <w:hyperlink w:anchor="ref-DiMaggio2013Exploiting">
        <w:r>
          <w:rPr>
            <w:rStyle w:val="Hyperlink"/>
          </w:rPr>
          <w:t xml:space="preserve">2013</w:t>
        </w:r>
      </w:hyperlink>
      <w:r>
        <w:t xml:space="preserve">)</w:t>
      </w:r>
      <w:r>
        <w:t xml:space="preserve">- attempt to placate statistical cricitism by substituting quantitative, statistical forms of validation for qualitative cross validation of topics. This may be more treacherous than the authors admit. Their analytical approach is:</w:t>
      </w:r>
    </w:p>
    <w:p>
      <w:pPr>
        <w:pStyle w:val="Compact"/>
        <w:numPr>
          <w:numId w:val="1003"/>
          <w:ilvl w:val="0"/>
        </w:numPr>
      </w:pPr>
      <w:r>
        <w:t xml:space="preserve">Fit the topic model.</w:t>
      </w:r>
    </w:p>
    <w:p>
      <w:pPr>
        <w:pStyle w:val="Compact"/>
        <w:numPr>
          <w:numId w:val="1003"/>
          <w:ilvl w:val="0"/>
        </w:numPr>
      </w:pPr>
      <w:r>
        <w:t xml:space="preserve">Sort the topic by term vectors in decreasing order.</w:t>
      </w:r>
    </w:p>
    <w:p>
      <w:pPr>
        <w:pStyle w:val="Compact"/>
        <w:numPr>
          <w:numId w:val="1004"/>
          <w:ilvl w:val="1"/>
        </w:numPr>
      </w:pPr>
      <w:r>
        <w:t xml:space="preserve">Split the fat head from the skinny tail.</w:t>
      </w:r>
    </w:p>
    <w:p>
      <w:pPr>
        <w:pStyle w:val="Compact"/>
        <w:numPr>
          <w:numId w:val="1004"/>
          <w:ilvl w:val="1"/>
        </w:numPr>
      </w:pPr>
      <w:r>
        <w:t xml:space="preserve">Interpret the terms in the fat head.</w:t>
      </w:r>
    </w:p>
    <w:p>
      <w:pPr>
        <w:pStyle w:val="Compact"/>
        <w:numPr>
          <w:numId w:val="1003"/>
          <w:ilvl w:val="0"/>
        </w:numPr>
      </w:pPr>
      <w:r>
        <w:t xml:space="preserve">Sort the topic by document vectors in decreasing order.</w:t>
      </w:r>
    </w:p>
    <w:p>
      <w:pPr>
        <w:pStyle w:val="Compact"/>
        <w:numPr>
          <w:numId w:val="1005"/>
          <w:ilvl w:val="1"/>
        </w:numPr>
      </w:pPr>
      <w:r>
        <w:t xml:space="preserve">Split the fat head from the skinny tail.</w:t>
      </w:r>
    </w:p>
    <w:p>
      <w:pPr>
        <w:pStyle w:val="Compact"/>
        <w:numPr>
          <w:numId w:val="1005"/>
          <w:ilvl w:val="1"/>
        </w:numPr>
      </w:pPr>
      <w:r>
        <w:t xml:space="preserve">Classify those documents in the fat head according to 2.b.</w:t>
      </w:r>
    </w:p>
    <w:p>
      <w:pPr>
        <w:pStyle w:val="Compact"/>
        <w:numPr>
          <w:numId w:val="1003"/>
          <w:ilvl w:val="0"/>
        </w:numPr>
      </w:pPr>
      <w:r>
        <w:t xml:space="preserve">Interpret the documents according to 3.b.</w:t>
      </w:r>
    </w:p>
    <w:p>
      <w:pPr>
        <w:pStyle w:val="FirstParagraph"/>
      </w:pPr>
      <w:r>
        <w:t xml:space="preserve">The sorting procedures are a typical low-hanging fruit use of the model. Even though the model is a much simpler ball of string than the original full text corpus, it is still a very complicated statistical equation with, in this case, 12 * 54,982 + 12 * 7,598 = 750,960 estimated parameters. Sorting the term and document vectors allows the analyst to proceed from an intepretation of the strongest signals toward the weakest, stopping when the author feels satisfied that the research question is satisfactorily addressed. The assumption here is that the strongest statistical signals are unbiased, that when parameters are converted to ranks, and the ranks are converted to truncated lists of words and documents, that those lists are correct.</w:t>
      </w:r>
    </w:p>
    <w:p>
      <w:pPr>
        <w:pStyle w:val="BodyText"/>
      </w:pPr>
      <w:r>
        <w:t xml:space="preserve">The specter that I raised above applies to the document ranking more than to the term ranking. A formal feature of topic models is that each topic is composed of all terms in the corpus. Of course this is an artifact rather than an intention of the model, as the goal is to separate relevant from irrelevant terms in the constitution of topics. Similarly, all documents are distributions over all topics, but this is not (necessarily) the intention; again we expect an elbow in the sorted topic document vector in front of which are relevant and after which are irrelevant topics. Any concentration index, such as the Gini coefficient, calculated on the topic term and to a lesser extent the topic document vectors will show very high concentration, where most of the probability is owned by a few elements.</w:t>
      </w:r>
    </w:p>
    <w:p>
      <w:pPr>
        <w:pStyle w:val="BodyText"/>
      </w:pPr>
      <w:r>
        <w:t xml:space="preserve">We can test for some of these expectations of bias. A document’s topic assignment may be considered suspect if its term distribution from that topic derives from the low and long tail of the topic, rather than from the select high probabilty terms normally associated with the topic’s meaning.</w:t>
      </w:r>
    </w:p>
    <w:p>
      <w:pPr>
        <w:pStyle w:val="Heading2"/>
      </w:pPr>
      <w:bookmarkStart w:id="46" w:name="data"/>
      <w:r>
        <w:t xml:space="preserve">Data</w:t>
      </w:r>
      <w:bookmarkEnd w:id="46"/>
    </w:p>
    <w:p>
      <w:pPr>
        <w:pStyle w:val="FirstParagraph"/>
      </w:pPr>
      <w:r>
        <w:t xml:space="preserve">We will use the JSTOR Data for Research service to download a bag-of-words text corpus for topic modeling. I take the following steps to develop a corpus:</w:t>
      </w:r>
    </w:p>
    <w:p>
      <w:pPr>
        <w:pStyle w:val="Compact"/>
        <w:numPr>
          <w:numId w:val="1006"/>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6"/>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6"/>
          <w:ilvl w:val="0"/>
        </w:numPr>
      </w:pPr>
      <w:r>
        <w:t xml:space="preserve">Remove ngrams appearing fewer than three times, which often includes optical character recognition errors.</w:t>
      </w:r>
    </w:p>
    <w:p>
      <w:pPr>
        <w:pStyle w:val="Compact"/>
        <w:numPr>
          <w:numId w:val="1006"/>
          <w:ilvl w:val="0"/>
        </w:numPr>
      </w:pPr>
      <w:r>
        <w:t xml:space="preserve">Remove ngrams shorter than three characters and longer than 25 characters, again often OCR errors but also stopwords that will be removed anyway.</w:t>
      </w:r>
      <w:r>
        <w:rPr>
          <w:rStyle w:val="FootnoteReference"/>
        </w:rPr>
        <w:footnoteReference w:id="47"/>
      </w:r>
    </w:p>
    <w:p>
      <w:pPr>
        <w:pStyle w:val="Compact"/>
        <w:numPr>
          <w:numId w:val="1006"/>
          <w:ilvl w:val="0"/>
        </w:numPr>
      </w:pPr>
      <w:r>
        <w:t xml:space="preserve">Remove ngrams longer than three characters that are all the same letter, often OCR errors but sometimes real, as in Roman numerals.</w:t>
      </w:r>
    </w:p>
    <w:p>
      <w:pPr>
        <w:pStyle w:val="Compact"/>
        <w:numPr>
          <w:numId w:val="1006"/>
          <w:ilvl w:val="0"/>
        </w:numPr>
      </w:pPr>
      <w:r>
        <w:t xml:space="preserve">Compile baseline word counts for each document assuming that at this step the documents contain only valid terms, and no OCR errors.</w:t>
      </w:r>
    </w:p>
    <w:p>
      <w:pPr>
        <w:pStyle w:val="Compact"/>
        <w:numPr>
          <w:numId w:val="1006"/>
          <w:ilvl w:val="0"/>
        </w:numPr>
      </w:pPr>
      <w:r>
        <w:t xml:space="preserve">Remove SMART stopwords.</w:t>
      </w:r>
    </w:p>
    <w:p>
      <w:pPr>
        <w:pStyle w:val="Compact"/>
        <w:numPr>
          <w:numId w:val="1006"/>
          <w:ilvl w:val="0"/>
        </w:numPr>
      </w:pPr>
      <w:r>
        <w:t xml:space="preserve">Remove numbers.</w:t>
      </w:r>
    </w:p>
    <w:p>
      <w:pPr>
        <w:pStyle w:val="Compact"/>
        <w:numPr>
          <w:numId w:val="1006"/>
          <w:ilvl w:val="0"/>
        </w:numPr>
      </w:pPr>
      <w:r>
        <w:t xml:space="preserve">Remove punctuation, except intraword hyphens.</w:t>
      </w:r>
    </w:p>
    <w:p>
      <w:pPr>
        <w:pStyle w:val="Compact"/>
        <w:numPr>
          <w:numId w:val="1006"/>
          <w:ilvl w:val="0"/>
        </w:numPr>
      </w:pPr>
      <w:r>
        <w:t xml:space="preserve">Lemmatize or stem English words.</w:t>
      </w:r>
    </w:p>
    <w:p>
      <w:pPr>
        <w:pStyle w:val="Compact"/>
        <w:numPr>
          <w:numId w:val="1006"/>
          <w:ilvl w:val="0"/>
        </w:numPr>
      </w:pPr>
      <w:r>
        <w:t xml:space="preserve">Remove lemma with fewer than three characters.</w:t>
      </w:r>
    </w:p>
    <w:p>
      <w:pPr>
        <w:pStyle w:val="Compact"/>
        <w:numPr>
          <w:numId w:val="1006"/>
          <w:ilvl w:val="0"/>
        </w:numPr>
      </w:pPr>
      <w:r>
        <w:t xml:space="preserve">Aggregate 1grams defined by a single lemma and, for ease of interpretation, name the sum after the most common 1gram.</w:t>
      </w:r>
    </w:p>
    <w:p>
      <w:pPr>
        <w:pStyle w:val="Compact"/>
        <w:numPr>
          <w:numId w:val="1006"/>
          <w:ilvl w:val="0"/>
        </w:numPr>
      </w:pPr>
      <w:r>
        <w:t xml:space="preserve">Remove terms appearing in fewer than 20 documents.</w:t>
      </w:r>
    </w:p>
    <w:p>
      <w:pPr>
        <w:pStyle w:val="Compact"/>
        <w:numPr>
          <w:numId w:val="1006"/>
          <w:ilvl w:val="0"/>
        </w:numPr>
      </w:pPr>
      <w:r>
        <w:t xml:space="preserve">Remove documents that, after the above filters, have a word count of fewer than 500 words.</w:t>
      </w:r>
    </w:p>
    <w:p>
      <w:pPr>
        <w:pStyle w:val="FirstParagraph"/>
      </w:pPr>
      <w:r>
        <w:t xml:space="preserve">The initial query returned 7,695 articles from 1,205 different journals, as well as 6,485 book chapters from 4,427 books. After the above processing steps, the sample was reduced to 3,545 articles and 2,799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idiosyncracy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5</w:t>
      </w:r>
      <w:r>
        <w:t xml:space="preserve"> </w:t>
      </w:r>
      <w:r>
        <w:t xml:space="preserve">shows the right-skewed distribution of idiosyncracy. The median text lost about one tenth (10.16 percent) of its words, while 90 percent of texts are within two tenths, and outliers begin at about three tenths as can be seen in the boxplot. The 150 (2.36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48"/>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idiosycrasy to be 12/13 or 92.3 percent, which also illustrates how terms that are not in the Roman alphabet may be discarded as OCR errors even prior to the idiosyncracy measurement.</w:t>
      </w:r>
    </w:p>
    <w:p>
      <w:pPr>
        <w:pStyle w:val="CaptionedFigure"/>
      </w:pPr>
      <w:r>
        <w:drawing>
          <wp:inline>
            <wp:extent cx="4620126" cy="3696101"/>
            <wp:effectExtent b="0" l="0" r="0" t="0"/>
            <wp:docPr descr="Figure 5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idiosyncracy, the proportion of document vocabularly dropped during pre-processing. Pluses indicate outliers.</w:t>
      </w:r>
    </w:p>
    <w:p>
      <w:pPr>
        <w:pStyle w:val="BodyText"/>
      </w:pPr>
      <w:r>
        <w:t xml:space="preserve">Figure</w:t>
      </w:r>
      <w:r>
        <w:t xml:space="preserve"> </w:t>
      </w:r>
      <w:r>
        <w:t xml:space="preserve">6</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90th percentile the rate is 27 in 1,000. 46 texts (0.73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50"/>
      </w:r>
      <w:r>
        <w:t xml:space="preserve">, a single page introduction in a special issue of</w:t>
      </w:r>
      <w:r>
        <w:t xml:space="preserve"> </w:t>
      </w:r>
      <w:r>
        <w:rPr>
          <w:i/>
        </w:rPr>
        <w:t xml:space="preserve">Literature/Film Quarterly</w:t>
      </w:r>
      <w:r>
        <w:t xml:space="preserve"> </w:t>
      </w:r>
      <w:r>
        <w:t xml:space="preserve">on genres.</w:t>
      </w:r>
    </w:p>
    <w:p>
      <w:pPr>
        <w:pStyle w:val="CaptionedFigure"/>
      </w:pPr>
      <w:r>
        <w:drawing>
          <wp:inline>
            <wp:extent cx="4620126" cy="3696101"/>
            <wp:effectExtent b="0" l="0" r="0" t="0"/>
            <wp:docPr descr="Figure 6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Heading2"/>
      </w:pPr>
      <w:bookmarkStart w:id="52" w:name="results"/>
      <w:r>
        <w:t xml:space="preserve">Results</w:t>
      </w:r>
      <w:bookmarkEnd w:id="52"/>
    </w:p>
    <w:p>
      <w:pPr>
        <w:pStyle w:val="FirstParagraph"/>
      </w:pPr>
      <w:r>
        <w:t xml:space="preserve">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Categorical Expectation Maximization is known to</w:t>
      </w:r>
    </w:p>
    <w:p>
      <w:pPr>
        <w:pStyle w:val="CaptionedFigure"/>
      </w:pPr>
      <w:r>
        <w:drawing>
          <wp:inline>
            <wp:extent cx="5334000" cy="4267200"/>
            <wp:effectExtent b="0" l="0" r="0" t="0"/>
            <wp:docPr descr="Figure 7 Sankey diagram of document overlap between topic models of increasing values of K." title="" id="1" name="Picture"/>
            <a:graphic>
              <a:graphicData uri="http://schemas.openxmlformats.org/drawingml/2006/picture">
                <pic:pic>
                  <pic:nvPicPr>
                    <pic:cNvPr descr="ambrose_dissertation_files/figure-docx/unnamed-chunk-8-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Sankey diagram of document overlap between topic models of increasing values of K.</w:t>
      </w:r>
    </w:p>
    <w:p>
      <w:pPr>
        <w:pStyle w:val="CaptionedFigure"/>
      </w:pPr>
      <w:r>
        <w:drawing>
          <wp:inline>
            <wp:extent cx="4620126" cy="3696101"/>
            <wp:effectExtent b="0" l="0" r="0" t="0"/>
            <wp:docPr descr="Figure 8 Topic concentrations (TC) within documents by TC within terms. Circles proportional to term frequency explained by each topic" title="" id="1" name="Picture"/>
            <a:graphic>
              <a:graphicData uri="http://schemas.openxmlformats.org/drawingml/2006/picture">
                <pic:pic>
                  <pic:nvPicPr>
                    <pic:cNvPr descr="ambrose_dissertation_files/figure-docx/top-gini-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Topic concentrations (TC) within documents by TC within terms. Circles proportional to term frequency explained by each topic</w:t>
      </w:r>
    </w:p>
    <w:p>
      <w:pPr>
        <w:pStyle w:val="CaptionedFigure"/>
      </w:pPr>
      <w:r>
        <w:drawing>
          <wp:inline>
            <wp:extent cx="4620126" cy="3696101"/>
            <wp:effectExtent b="0" l="0" r="0" t="0"/>
            <wp:docPr descr="Figure 9 Cumulative distribution of within topic term probabilities." title="" id="1" name="Picture"/>
            <a:graphic>
              <a:graphicData uri="http://schemas.openxmlformats.org/drawingml/2006/picture">
                <pic:pic>
                  <pic:nvPicPr>
                    <pic:cNvPr descr="ambrose_dissertation_files/figure-docx/elbow-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Cumulative distribution of within topic term probabilities.</w:t>
      </w:r>
    </w:p>
    <w:p>
      <w:pPr>
        <w:pStyle w:val="SourceCode"/>
      </w:pPr>
      <w:r>
        <w:rPr>
          <w:rStyle w:val="VerbatimChar"/>
        </w:rPr>
        <w:t xml:space="preserve">Topic index maps to probability index like so:</w:t>
      </w:r>
      <w:r>
        <w:br/>
      </w:r>
      <w:r>
        <w:rPr>
          <w:rStyle w:val="VerbatimChar"/>
        </w:rPr>
        <w:t xml:space="preserve">      viz</w:t>
      </w:r>
      <w:r>
        <w:br/>
      </w:r>
      <w:r>
        <w:rPr>
          <w:rStyle w:val="VerbatimChar"/>
        </w:rPr>
        <w:t xml:space="preserve"> [1,]   9</w:t>
      </w:r>
      <w:r>
        <w:br/>
      </w:r>
      <w:r>
        <w:rPr>
          <w:rStyle w:val="VerbatimChar"/>
        </w:rPr>
        <w:t xml:space="preserve"> [2,]   5</w:t>
      </w:r>
      <w:r>
        <w:br/>
      </w:r>
      <w:r>
        <w:rPr>
          <w:rStyle w:val="VerbatimChar"/>
        </w:rPr>
        <w:t xml:space="preserve"> [3,]   8</w:t>
      </w:r>
      <w:r>
        <w:br/>
      </w:r>
      <w:r>
        <w:rPr>
          <w:rStyle w:val="VerbatimChar"/>
        </w:rPr>
        <w:t xml:space="preserve"> [4,]   1</w:t>
      </w:r>
      <w:r>
        <w:br/>
      </w:r>
      <w:r>
        <w:rPr>
          <w:rStyle w:val="VerbatimChar"/>
        </w:rPr>
        <w:t xml:space="preserve"> [5,]   4</w:t>
      </w:r>
      <w:r>
        <w:br/>
      </w:r>
      <w:r>
        <w:rPr>
          <w:rStyle w:val="VerbatimChar"/>
        </w:rPr>
        <w:t xml:space="preserve"> [6,]   2</w:t>
      </w:r>
      <w:r>
        <w:br/>
      </w:r>
      <w:r>
        <w:rPr>
          <w:rStyle w:val="VerbatimChar"/>
        </w:rPr>
        <w:t xml:space="preserve"> [7,]  10</w:t>
      </w:r>
      <w:r>
        <w:br/>
      </w:r>
      <w:r>
        <w:rPr>
          <w:rStyle w:val="VerbatimChar"/>
        </w:rPr>
        <w:t xml:space="preserve"> [8,]   6</w:t>
      </w:r>
      <w:r>
        <w:br/>
      </w:r>
      <w:r>
        <w:rPr>
          <w:rStyle w:val="VerbatimChar"/>
        </w:rPr>
        <w:t xml:space="preserve"> [9,]   3</w:t>
      </w:r>
      <w:r>
        <w:br/>
      </w:r>
      <w:r>
        <w:rPr>
          <w:rStyle w:val="VerbatimChar"/>
        </w:rPr>
        <w:t xml:space="preserve">[10,]   7</w:t>
      </w:r>
    </w:p>
    <w:p>
      <w:pPr>
        <w:pStyle w:val="SourceCode"/>
      </w:pPr>
      <w:r>
        <w:rPr>
          <w:rStyle w:val="VerbatimChar"/>
        </w:rPr>
        <w:t xml:space="preserve">Warning in dir.create(out.dir): 'ldaviz/viz' already exists</w:t>
      </w:r>
    </w:p>
    <w:p>
      <w:pPr>
        <w:pStyle w:val="FirstParagraph"/>
      </w:pPr>
      <w:hyperlink r:id="rId57">
        <w:r>
          <w:drawing>
            <wp:inline>
              <wp:extent cx="5334000" cy="3766206"/>
              <wp:effectExtent b="0" l="0" r="0" t="0"/>
              <wp:docPr descr="Figure 10 Topic Term Explorer, K=10" title="" id="1" name="Picture"/>
              <a:graphic>
                <a:graphicData uri="http://schemas.openxmlformats.org/drawingml/2006/picture">
                  <pic:pic>
                    <pic:nvPicPr>
                      <pic:cNvPr descr="ambrose_dissertation_files/figure-docx/genr-mod-viz-1.png" id="0" name="Picture"/>
                      <pic:cNvPicPr>
                        <a:picLocks noChangeArrowheads="1" noChangeAspect="1"/>
                      </pic:cNvPicPr>
                    </pic:nvPicPr>
                    <pic:blipFill>
                      <a:blip r:embed="rId56"/>
                      <a:stretch>
                        <a:fillRect/>
                      </a:stretch>
                    </pic:blipFill>
                    <pic:spPr bwMode="auto">
                      <a:xfrm>
                        <a:off x="0" y="0"/>
                        <a:ext cx="5334000" cy="3766206"/>
                      </a:xfrm>
                      <a:prstGeom prst="rect">
                        <a:avLst/>
                      </a:prstGeom>
                      <a:noFill/>
                      <a:ln w="9525">
                        <a:noFill/>
                        <a:headEnd/>
                        <a:tailEnd/>
                      </a:ln>
                    </pic:spPr>
                  </pic:pic>
                </a:graphicData>
              </a:graphic>
            </wp:inline>
          </w:drawing>
        </w:r>
      </w:hyperlink>
    </w:p>
    <w:p>
      <w:pPr>
        <w:pStyle w:val="Heading1"/>
      </w:pPr>
      <w:bookmarkStart w:id="58" w:name="gen"/>
      <w:r>
        <w:t xml:space="preserve">Social Science Genres Today</w:t>
      </w:r>
      <w:bookmarkEnd w:id="58"/>
    </w:p>
    <w:p>
      <w:pPr>
        <w:pStyle w:val="Heading4"/>
      </w:pPr>
      <w:bookmarkStart w:id="59" w:name="abstract-1"/>
      <w:r>
        <w:t xml:space="preserve">Abstract</w:t>
      </w:r>
      <w:bookmarkEnd w:id="59"/>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Heading4"/>
      </w:pPr>
      <w:bookmarkStart w:id="60" w:name="keywords-1"/>
      <w:r>
        <w:t xml:space="preserve">Keywords</w:t>
      </w:r>
      <w:bookmarkEnd w:id="60"/>
    </w:p>
    <w:p>
      <w:pPr>
        <w:pStyle w:val="FirstParagraph"/>
      </w:pPr>
      <w:r>
        <w:t xml:space="preserve">genre, social science, knowledge mapping, labeling, cognition</w:t>
      </w:r>
    </w:p>
    <w:p>
      <w:pPr>
        <w:pStyle w:val="Heading2"/>
      </w:pPr>
      <w:bookmarkStart w:id="61" w:name="introduction"/>
      <w:r>
        <w:t xml:space="preserve">Introduction</w:t>
      </w:r>
      <w:bookmarkEnd w:id="61"/>
    </w:p>
    <w:p>
      <w:pPr>
        <w:pStyle w:val="BlockText"/>
      </w:pPr>
      <w:r>
        <w:t xml:space="preserve">The science that everybody is…called upon to possess hardly deserves that name. It is not science; or at the very most it is the most common and general part of it. It is indeed limited to a few indispensable elements of knowledge which are only required of everyone because they are within everyone’s grasp. Science proper soars infinitely beyond this vulgar level. It includes not only what one would blush at not knowing, but all that it is possible to know. It presumes among those who are its adepts not only those average faculties possessed by all men, but special aptitudes. In consequence, since it is accessible only to an elite, it is not obligatory. Although something fine and useful, it is not so utterly indispensable that society categorically requires it. There is advantage in being equipped with it, but nothing immoral about not acquiring it. It is a field of activity open to everyone on their own initiative, but one which no one is compelled to enter. One is no more required to be a scientist than an artist.</w:t>
      </w:r>
      <w:r>
        <w:t xml:space="preserve"> </w:t>
      </w:r>
      <w:r>
        <w:t xml:space="preserve">(Durkheim</w:t>
      </w:r>
      <w:r>
        <w:t xml:space="preserve"> </w:t>
      </w:r>
      <w:hyperlink w:anchor="ref-Durkheim1893division">
        <w:r>
          <w:rPr>
            <w:rStyle w:val="Hyperlink"/>
          </w:rPr>
          <w:t xml:space="preserve">1893</w:t>
        </w:r>
      </w:hyperlink>
      <w:r>
        <w:t xml:space="preserve">:43)</w:t>
      </w:r>
    </w:p>
    <w:p>
      <w:pPr>
        <w:pStyle w:val="FirstParagraph"/>
      </w:pPr>
      <w:r>
        <w:t xml:space="preserve">Genre is a both a phenomenon and an analytical approach, indeed, several analytical approaches. I critique a contemporary use of multimodal network analysis to study genre as measured in cultural object network data. I argue that standard rational choice approaches in the sociology of culture, the theory of consumer preferences or tastes, does not pass a prima facie test of validity as an accurate representation of the global properties of so-called cultural networks. The same data that are used to demonstrate taste theory better support an alternative knowledge based approach to culture.</w:t>
      </w:r>
    </w:p>
    <w:p>
      <w:pPr>
        <w:pStyle w:val="Heading3"/>
      </w:pPr>
      <w:bookmarkStart w:id="62" w:name="taste"/>
      <w:r>
        <w:t xml:space="preserve">Taste</w:t>
      </w:r>
      <w:bookmarkEnd w:id="62"/>
    </w:p>
    <w:p>
      <w:pPr>
        <w:pStyle w:val="FirstParagraph"/>
      </w:pPr>
      <w:r>
        <w:t xml:space="preserve">Lizardo operationalizes genre preference data in network terms by</w:t>
      </w:r>
      <w:r>
        <w:t xml:space="preserve"> </w:t>
      </w:r>
      <w:r>
        <w:t xml:space="preserve">“</w:t>
      </w:r>
      <w:r>
        <w:t xml:space="preserve">inducing a network of persons connected to the cultural genres they choose</w:t>
      </w:r>
      <w:r>
        <w:t xml:space="preserve">”</w:t>
      </w:r>
      <w:r>
        <w:t xml:space="preserve"> </w:t>
      </w:r>
      <w:r>
        <w:t xml:space="preserve">(</w:t>
      </w:r>
      <w:hyperlink w:anchor="ref-Lizardo2018mutual">
        <w:r>
          <w:rPr>
            <w:rStyle w:val="Hyperlink"/>
          </w:rPr>
          <w:t xml:space="preserve">2018</w:t>
        </w:r>
      </w:hyperlink>
      <w:r>
        <w:t xml:space="preserve">:53)</w:t>
      </w:r>
      <w:r>
        <w:t xml:space="preserve">. This allows him to analyze individual preferences within a global context represented in bimodal network patterns. Multimodal networks, of which a bimodal network is the simplest type, are an analytical convention wherein at least two classes of items bear relations and in which a rule is imposed that such items may only be related to items of a different class. Insofar as the researcher cares about intraclass relationships she must understand them as mediated by one of the alternative classes.</w:t>
      </w:r>
    </w:p>
    <w:p>
      <w:pPr>
        <w:pStyle w:val="BodyText"/>
      </w:pPr>
      <w:r>
        <w:t xml:space="preserve">This multimodal metric convention aligns with cultural capital theories of culture which treat the consumption of cultural objects as transactions out of knowledge relationships and into status ones. In a knowledge relationship cultural logics obtain, usually a principle of rightness like truth, beauty, or morality. Social relationships, on the other hand, are governed by different rules, e.g. those of commitments like love and enmity or loyalty and rivalry. The meaning of a cultural object is given by the interactions established around it, which are themselves conditioned by role expectations</w:t>
      </w:r>
      <w:r>
        <w:t xml:space="preserve"> </w:t>
      </w:r>
      <w:r>
        <w:t xml:space="preserve">(DiMaggio</w:t>
      </w:r>
      <w:r>
        <w:t xml:space="preserve"> </w:t>
      </w:r>
      <w:hyperlink w:anchor="ref-DiMaggio1987Classification">
        <w:r>
          <w:rPr>
            <w:rStyle w:val="Hyperlink"/>
          </w:rPr>
          <w:t xml:space="preserve">1987</w:t>
        </w:r>
      </w:hyperlink>
      <w:r>
        <w:t xml:space="preserve">:445)</w:t>
      </w:r>
      <w:r>
        <w:t xml:space="preserve">. Cultural capital then is the type of relationship process where an actor tries to exchange knowledge for status as the basis for a relationship or at least to motivate a particular role interaction.</w:t>
      </w:r>
    </w:p>
    <w:p>
      <w:pPr>
        <w:pStyle w:val="BodyText"/>
      </w:pPr>
      <w:r>
        <w:t xml:space="preserve">This treatment of cultural capital differs from more strictly Bourdieusian approaches. Serino et al</w:t>
      </w:r>
      <w:r>
        <w:t xml:space="preserve"> </w:t>
      </w:r>
      <w:r>
        <w:t xml:space="preserve">(</w:t>
      </w:r>
      <w:hyperlink w:anchor="ref-Serino2017Bridging">
        <w:r>
          <w:rPr>
            <w:rStyle w:val="Hyperlink"/>
          </w:rPr>
          <w:t xml:space="preserve">2017</w:t>
        </w:r>
      </w:hyperlink>
      <w:r>
        <w:t xml:space="preserve">)</w:t>
      </w:r>
      <w:r>
        <w:t xml:space="preserve"> </w:t>
      </w:r>
      <w:r>
        <w:t xml:space="preserve">do it differently.</w:t>
      </w:r>
    </w:p>
    <w:p>
      <w:pPr>
        <w:pStyle w:val="BodyText"/>
      </w:pPr>
      <w:r>
        <w:t xml:space="preserve">The simplest multimodal network has two classes (see</w:t>
      </w:r>
      <w:r>
        <w:t xml:space="preserve"> </w:t>
      </w:r>
      <w:r>
        <w:t xml:space="preserve">(Shi, Foster, and Evans</w:t>
      </w:r>
      <w:r>
        <w:t xml:space="preserve"> </w:t>
      </w:r>
      <w:hyperlink w:anchor="ref-Shi2015Weaving">
        <w:r>
          <w:rPr>
            <w:rStyle w:val="Hyperlink"/>
          </w:rPr>
          <w:t xml:space="preserve">2015</w:t>
        </w:r>
      </w:hyperlink>
      <w:r>
        <w:t xml:space="preserve">)</w:t>
      </w:r>
      <w:r>
        <w:t xml:space="preserve"> </w:t>
      </w:r>
      <w:r>
        <w:t xml:space="preserve">for examples of many more).</w:t>
      </w:r>
    </w:p>
    <w:p>
      <w:pPr>
        <w:pStyle w:val="BodyText"/>
      </w:pPr>
      <w:r>
        <w:t xml:space="preserve">culture as a disembodied abstraction</w:t>
      </w:r>
      <w:r>
        <w:t xml:space="preserve"> </w:t>
      </w:r>
      <w:r>
        <w:t xml:space="preserve">(Lizardo</w:t>
      </w:r>
      <w:r>
        <w:t xml:space="preserve"> </w:t>
      </w:r>
      <w:hyperlink w:anchor="ref-Lizardo2018mutual">
        <w:r>
          <w:rPr>
            <w:rStyle w:val="Hyperlink"/>
          </w:rPr>
          <w:t xml:space="preserve">2018</w:t>
        </w:r>
      </w:hyperlink>
      <w:r>
        <w:t xml:space="preserve">)</w:t>
      </w:r>
    </w:p>
    <w:p>
      <w:pPr>
        <w:pStyle w:val="BlockText"/>
        <w:pStyle w:val="BlockText"/>
      </w:pPr>
      <w:r>
        <w:t xml:space="preserve">Genre classifications socialize the infrastructure costs of artistic production.</w:t>
      </w:r>
      <w:r>
        <w:t xml:space="preserve"> </w:t>
      </w:r>
      <w:r>
        <w:t xml:space="preserve">(DiMaggio</w:t>
      </w:r>
      <w:r>
        <w:t xml:space="preserve"> </w:t>
      </w:r>
      <w:hyperlink w:anchor="ref-DiMaggio1987Classification">
        <w:r>
          <w:rPr>
            <w:rStyle w:val="Hyperlink"/>
          </w:rPr>
          <w:t xml:space="preserve">1987</w:t>
        </w:r>
      </w:hyperlink>
      <w:r>
        <w:t xml:space="preserve">:445)</w:t>
      </w:r>
    </w:p>
    <w:p>
      <w:pPr>
        <w:pStyle w:val="Heading3"/>
      </w:pPr>
      <w:bookmarkStart w:id="63" w:name="structuralist"/>
      <w:r>
        <w:t xml:space="preserve">Structuralist</w:t>
      </w:r>
      <w:bookmarkEnd w:id="63"/>
    </w:p>
    <w:p>
      <w:pPr>
        <w:pStyle w:val="FirstParagraph"/>
      </w:pPr>
      <w:r>
        <w:t xml:space="preserve">Genres are a feature of two kinds of cultural surplus. First, genres are not necessary if knowledge is limited to a small number of lessons, stories, ideas, or skills. Such a cultural corpus is naturally held as</w:t>
      </w:r>
      <w:r>
        <w:t xml:space="preserve"> </w:t>
      </w:r>
      <w:r>
        <w:t xml:space="preserve">“</w:t>
      </w:r>
      <w:r>
        <w:t xml:space="preserve">the</w:t>
      </w:r>
      <w:r>
        <w:t xml:space="preserve">”</w:t>
      </w:r>
      <w:r>
        <w:t xml:space="preserve"> </w:t>
      </w:r>
      <w:r>
        <w:t xml:space="preserve">obligatory culture, and because knowers do not experience options they do not face the problem that genres solve. When such a unary culture expands beyond the mental or technological limits of memory, or when it is faced with alien knowledge sources, a proto genre is functionally necessary that allows for a binary classification between sense and nonsense.</w:t>
      </w:r>
    </w:p>
    <w:p>
      <w:pPr>
        <w:pStyle w:val="BodyText"/>
      </w:pPr>
      <w:r>
        <w:t xml:space="preserve">Such a proto genre allows two things. Alien material becomes obvious, perhaps dangerous, but not confusing as it can be safely cordoned off from what is real knowledge. Second and perhaps more interestingly, a proto genre precipitates cultural expansion by allowing some stories (ideas, skills, products) to be told differently. Such novelty maintains interest without exciting alienation. In those acts of deciding what makes sense (inclusion) and what is nonsense (exclusion) the rules of the genre begin to form.</w:t>
      </w:r>
    </w:p>
    <w:p>
      <w:pPr>
        <w:pStyle w:val="BodyText"/>
      </w:pPr>
      <w:r>
        <w:t xml:space="preserve">When genres become multiple they cease to be about sense and nonsense and begin to be about relevance and irrelevance. They allow local action with a globalized culture by reducing local cultural complexity to a manageable level, and what is more important, they make normative and binding the particular pattern of exclusion. The genre classification of particular cultural objects must be done correctly or they will invite more or less predictable social backlash. In this way</w:t>
      </w:r>
      <w:r>
        <w:t xml:space="preserve"> </w:t>
      </w:r>
      <w:r>
        <w:t xml:space="preserve">“</w:t>
      </w:r>
      <w:r>
        <w:t xml:space="preserve">personal genre</w:t>
      </w:r>
      <w:r>
        <w:t xml:space="preserve">”</w:t>
      </w:r>
      <w:r>
        <w:t xml:space="preserve"> </w:t>
      </w:r>
      <w:r>
        <w:t xml:space="preserve">must be understood to be an oxymoron; a person may have tastes, her own rules of repulsion and attraction, but to the extent that these tastes abrogate genre conventions a person has difficult decisions to make about how she will field the forms of social regulations, and perhaps rewards, that she will incur in expressing those tastes.</w:t>
      </w:r>
    </w:p>
    <w:p>
      <w:pPr>
        <w:pStyle w:val="BodyText"/>
      </w:pPr>
      <w:r>
        <w:t xml:space="preserve">This is not to say that socialized tastes, tastes that conform to genre convention, do not incure regulation and reward. Indeed we will see that one function of multigenre systems is to allow cultural industries to minimize exclusion and maximize conversions. In this sense the developmental model with which we began has a circular logic of scale; as genre systems grow and differentiate in the vain attempt to index the wild cultural content they hope to classify, industrial action lights upon this natural tendency and works to domesticate it. In working to exclude nothing, purveyors of culture demonstrate themselves to be tastelessly willing to hock something to anyone.</w:t>
      </w:r>
    </w:p>
    <w:p>
      <w:pPr>
        <w:pStyle w:val="BodyText"/>
      </w:pPr>
      <w:r>
        <w:t xml:space="preserve">This simple structuralism is a functional understanding of genres, which though not a sensible analytical approach in contemporary sociology, forms the spine of the argument to follow. The effect of genres that we wish to focus on is their exclusion potential.</w:t>
      </w:r>
    </w:p>
    <w:p>
      <w:pPr>
        <w:pStyle w:val="Heading2"/>
      </w:pPr>
      <w:bookmarkStart w:id="64" w:name="culture"/>
      <w:r>
        <w:t xml:space="preserve">Culture</w:t>
      </w:r>
      <w:bookmarkEnd w:id="64"/>
    </w:p>
    <w:p>
      <w:pPr>
        <w:pStyle w:val="FirstParagraph"/>
      </w:pPr>
      <w:r>
        <w:t xml:space="preserve">Bodies of knowledge and practice, cultures, exist because of yet apart from particular people. While some cultures are ubiquitous and inculcated in all members of the societies in which they are substantiated, others are esoteric and marked by significant barriers to learning them. Such esoteric cultures are as inaccessible as they are unnecessary. A child who does not learn what to eat and how to eat it in her local culture will have great difficulty doing anything else in her society. Food culture is of the ubiquitous type and is not difficult to learn. On the other hand, a child who does not master scripture will be ashamed at temple, but shame is bearable in a way that hunger is not. Scripture is of the esoteric type; knowledge of it enables special abilities and grants access to restricted aspects of a society, but ignorance of it does not threaten one’s lay livelihood. Even in religiously totalitarian societies, what religous knowledge is necessary will be ubiquitous. What religious knowledge is esoteric can be safely left to the clergy. It is not too narrowly circular to say that the knowledge that informs daily life is the easiest to aqcuire, and that the mere act of living also reproduces that knowledge within contexts that are themselves ubiquitous. Whether relationships of ubiquity are familial, economic, or state relations varies by society, but no society lacks ubiquitous culture and the means of reproducing it.</w:t>
      </w:r>
    </w:p>
    <w:p>
      <w:pPr>
        <w:pStyle w:val="BodyText"/>
      </w:pPr>
      <w:r>
        <w:t xml:space="preserve">Esoteric cultures, then, are removed from ubiquitous ones though they depend on them. They require specialized social relationships for their reproduction in populations. These special relationships may be called fields of cultural production (FCP). FCPs are both reproductive of extant knowledge and productive of novel knowledge relevant usually only to the field itself. To the extent that esoteric cultures are complicated or otherwise have high entropy, the failure to reproduce their cultural content is always an existential threat. While it is a gaurantee that cultural content is constantly actually lost to reproduction failures, cultures that nonetheless persist historically must always have a socially structured FCP that, in inculcating new members and reinforcing the knowledge of extant members, resists the entropic decay that would otherwise lead to extinction.</w:t>
      </w:r>
    </w:p>
    <w:p>
      <w:pPr>
        <w:pStyle w:val="BodyText"/>
      </w:pPr>
      <w:r>
        <w:t xml:space="preserve">The scope of a culture has a knowledge and a social dimension. Units of knowledge are both discrete and combinatoric. Discretely, the size of a culture can be measured by a count of co-occuring ideas and skills. The utility of knowledge, for instance as instantiated in an FCP, often depends on the combination and interaction of such discrete elements. The mass of knowledge in a culture is related to the count of units and to the ease with which those units can be learned, thought, or deployed in meaningful activity. Some cultures are easier than others, and it is the effort-adjusted size that is the real mass of the ideational content of a culture.</w:t>
      </w:r>
    </w:p>
    <w:p>
      <w:pPr>
        <w:pStyle w:val="BodyText"/>
      </w:pPr>
      <w:r>
        <w:t xml:space="preserve">Not all sociologically relevant information is cultural. In the triadic relationship among culture, social structure, and personality, psychological concepts like schemata that are sometimes treated as constitutive of social structure do not belong in the category of culture. Schemata allow personalities to organize their responses to a world that includes many things beyond culture. In order for cultures and social structures to function stably in time, they depend on the successful operation of schema, but they do not necessarily provision these schema. An only partial exception is the limiting and very specialized cases of pedagogical institutions. A culture can only exist if people can reproduce it, but the people must solve the psychological problems of cognition on their own. Whereas culture is fungible in its different mediated forms, there is no reason to believe that a</w:t>
      </w:r>
      <w:r>
        <w:t xml:space="preserve"> </w:t>
      </w:r>
      <w:r>
        <w:t xml:space="preserve">“</w:t>
      </w:r>
      <w:r>
        <w:t xml:space="preserve">single schema</w:t>
      </w:r>
      <w:r>
        <w:t xml:space="preserve">”</w:t>
      </w:r>
      <w:r>
        <w:t xml:space="preserve"> </w:t>
      </w:r>
      <w:r>
        <w:t xml:space="preserve">occurs across a population of people. There are no one-size-fits-all solutions to human motivation, and schema will to a large extent be idiosyncratic, adapted as they must be to the particular circumstances in which people as träger find themselves.</w:t>
      </w:r>
    </w:p>
    <w:p>
      <w:pPr>
        <w:pStyle w:val="BodyText"/>
      </w:pPr>
      <w:r>
        <w:t xml:space="preserve">What cultures can do to hedge their bets against the instability of personalities is to introduce kinds of knowledge adapted to cognitive problems. Schutz identifies systems of relevance from the side of personalities, and here we understand the same from the side of cultures.</w:t>
      </w:r>
    </w:p>
    <w:p>
      <w:pPr>
        <w:pStyle w:val="BodyText"/>
      </w:pPr>
      <w:r>
        <w:t xml:space="preserve">People know culture and it does not appear apart from them. Put differently, culture is information and people are the media that concretely manifest it. The size of a culture is the count of the unique ideas and idea combinations appearing in a deduplicated media catalog, excluding possible but unrealized combinations. The potential of a culture is the size of the realized and unrealized combinations, where the number of elements in a set is limited by a given historical cognitive and technological memory capacity. The potential of a real culture is always greater than its size, as combination novelty always easily exceeds the available media.</w:t>
      </w:r>
    </w:p>
    <w:p>
      <w:pPr>
        <w:pStyle w:val="BodyText"/>
      </w:pPr>
      <w:r>
        <w:t xml:space="preserve">The social mass of the culture is the enumeration of the media in which cultural content actually appears historically. The cultural mass is copied piecemeal among a population of knowers. The mass may be enlarged by information technology by making it easier to access and transmit culture, but the artifacts and technology themselves do not count in the mass of the culture. Real, historical human nervous systems, including language expression,</w:t>
      </w:r>
    </w:p>
    <w:p>
      <w:pPr>
        <w:pStyle w:val="BodyText"/>
      </w:pPr>
      <w:r>
        <w:t xml:space="preserve">Dead cultures cannot live again because the dead part, the social part, is highly ephemeral. Even if a culture leaves material and symbolic artifacts, the</w:t>
      </w:r>
      <w:r>
        <w:t xml:space="preserve"> </w:t>
      </w:r>
      <w:r>
        <w:t xml:space="preserve">“</w:t>
      </w:r>
      <w:r>
        <w:t xml:space="preserve">dead</w:t>
      </w:r>
      <w:r>
        <w:t xml:space="preserve">”</w:t>
      </w:r>
      <w:r>
        <w:t xml:space="preserve"> </w:t>
      </w:r>
      <w:r>
        <w:t xml:space="preserve">parts are precisely those human relationships that would socialize new members in particular ways that cannot be deduced by people who never belonged to begin with, namely the archeologists of the future. Such archeologists belong to the FCP of their own time, and approach the historical artifacts of a dead culture as any other FCP approaches regular patterns in the world, as subject to their own particular cultural logics.</w:t>
      </w:r>
    </w:p>
    <w:p>
      <w:pPr>
        <w:pStyle w:val="BodyText"/>
      </w:pPr>
      <w:r>
        <w:t xml:space="preserve">Reproduction does not necessarily imply long term consistency of cultural content, indeed a high level of knowledge loss may be a sign of historical stability in an esoteric culture if it results from a highly productive FCP. An oversupply of cultural content increases the chances that some, any culture can be conveyed into the future in a chain of descent.</w:t>
      </w:r>
    </w:p>
    <w:p>
      <w:pPr>
        <w:pStyle w:val="BodyText"/>
      </w:pPr>
      <w:r>
        <w:t xml:space="preserve">Esoteric knowledge is essentially cryptic, ubiquituous knowledge essentially evident. Crypticism means that layity cannot acquire knowledge on their own, that is, without socially structured access to an FCP. Esotericism is the social consequence of crypticism. Cultures vary by knowledge features, as knowledge is a social axis of power along which status hierarchy necessarily develops. Knowledge asymmetry structures social relationships, usually leading to status inequality.</w:t>
      </w:r>
    </w:p>
    <w:p>
      <w:pPr>
        <w:pStyle w:val="BodyText"/>
      </w:pPr>
      <w:r>
        <w:t xml:space="preserve">High entropy cultures must socialize new and maintain existing members like any culture, but their complications also tend to be generative of novelty.</w:t>
      </w:r>
    </w:p>
    <w:p>
      <w:pPr>
        <w:pStyle w:val="BodyText"/>
      </w:pPr>
      <w:r>
        <w:t xml:space="preserve">The ubiquitous cultures will be learned because there is nothing in a society to do without knowing them, while esoteric ones are gauranteed to be forgotten by most, swapped easily for the always ready ubiquitous alternatives. Ubiquitous cultures have high ambient findability</w:t>
      </w:r>
      <w:r>
        <w:t xml:space="preserve"> </w:t>
      </w:r>
      <w:r>
        <w:t xml:space="preserve">(Morville</w:t>
      </w:r>
      <w:r>
        <w:t xml:space="preserve"> </w:t>
      </w:r>
      <w:hyperlink w:anchor="ref-Morville2009Ambient">
        <w:r>
          <w:rPr>
            <w:rStyle w:val="Hyperlink"/>
          </w:rPr>
          <w:t xml:space="preserve">2009</w:t>
        </w:r>
      </w:hyperlink>
      <w:r>
        <w:t xml:space="preserve">)</w:t>
      </w:r>
      <w:r>
        <w:t xml:space="preserve">, they can be transparently acquired for instance through mimicry</w:t>
      </w:r>
      <w:r>
        <w:t xml:space="preserve"> </w:t>
      </w:r>
      <w:r>
        <w:t xml:space="preserve">(DiMaggio and Powell</w:t>
      </w:r>
      <w:r>
        <w:t xml:space="preserve"> </w:t>
      </w:r>
      <w:hyperlink w:anchor="ref-DiMaggio1983Iron">
        <w:r>
          <w:rPr>
            <w:rStyle w:val="Hyperlink"/>
          </w:rPr>
          <w:t xml:space="preserve">1983</w:t>
        </w:r>
      </w:hyperlink>
      <w:r>
        <w:t xml:space="preserve">)</w:t>
      </w:r>
      <w:r>
        <w:t xml:space="preserve">.</w:t>
      </w:r>
    </w:p>
    <w:p>
      <w:pPr>
        <w:pStyle w:val="BodyText"/>
      </w:pPr>
      <w:r>
        <w:t xml:space="preserve">FCPs are social structures that can be thought of as the articulation points between people and a special type of culture that we associate with higher education.</w:t>
      </w:r>
    </w:p>
    <w:p>
      <w:pPr>
        <w:pStyle w:val="BodyText"/>
      </w:pPr>
      <w:r>
        <w:t xml:space="preserve">To be sure, if esoteric cultures are marked by asymmetries of knowledge between laity and clergy, to continue with the religious example, we must admit that such asymetries exist in ubiquitous culture as well, as in the supposed ignorance of a child against the learning of an adult. The ignorance of children combined with their megalomania is a useful example of how social structures operate. Social structures are always culturally conservative; a child’s ignorance is a generative force, as they may attempt to solve problems in novel ways, and their efforts will frequently be corrected by the experts. Whether the correction takes marks the chagrin of the parent. Children quickly become specialists in their own FCPs, but this is never because they aren’t also aware of the ubiquity. They may know it, it may bore them, and they efface it for fun. But they know what is ubiquitous; their proximity to ignorance of it may animate their creative abrogation of culture. The essentially conservative function of pedagogy will stamp out that creative flame in time. Indeed children are a great source of entropy for ubiquitous culture, hence the large investment in education generally.</w:t>
      </w:r>
    </w:p>
    <w:p>
      <w:pPr>
        <w:pStyle w:val="BodyText"/>
      </w:pPr>
      <w:r>
        <w:t xml:space="preserve">This evolutionary argument can be more simply stated as, complicated cultures cannot exist for very long without stewardship.</w:t>
      </w:r>
    </w:p>
    <w:p>
      <w:pPr>
        <w:pStyle w:val="Heading2"/>
      </w:pPr>
      <w:bookmarkStart w:id="65" w:name="Xe6e2354489a4d0f8ece1c96b929cc740021d175"/>
      <w:r>
        <w:t xml:space="preserve">Genre, Profession, and Cultural Morphodynamics</w:t>
      </w:r>
      <w:bookmarkEnd w:id="65"/>
    </w:p>
    <w:p>
      <w:pPr>
        <w:pStyle w:val="FirstParagraph"/>
      </w:pPr>
      <w:r>
        <w:t xml:space="preserve">Genre in sociology has been treated from literary, economic, and historical vantages.</w:t>
      </w:r>
    </w:p>
    <w:p>
      <w:pPr>
        <w:pStyle w:val="BodyText"/>
      </w:pPr>
      <w:r>
        <w:t xml:space="preserve">Economic sociology has treated genre as an integrating feature of markets, expressed simultaneously by both supply side and demand side actors</w:t>
      </w:r>
      <w:r>
        <w:t xml:space="preserve"> </w:t>
      </w:r>
      <w:r>
        <w:t xml:space="preserve">(DiMaggio</w:t>
      </w:r>
      <w:r>
        <w:t xml:space="preserve"> </w:t>
      </w:r>
      <w:hyperlink w:anchor="ref-DiMaggio1987Classification">
        <w:r>
          <w:rPr>
            <w:rStyle w:val="Hyperlink"/>
          </w:rPr>
          <w:t xml:space="preserve">1987</w:t>
        </w:r>
      </w:hyperlink>
      <w:r>
        <w:t xml:space="preserve">:441)</w:t>
      </w:r>
      <w:r>
        <w:t xml:space="preserve">. DiMaggio posits an oversocialized conception of artistic classification systems that sets genre as a matching between consumers on one hand and production, including producers and distributors, on the other. Consumption of art is essentially transacted for social goods, that is, is a form of cultural capital. Because cultural products are objects of ritual satisfaction among consumers, social relations are limited to intra-economic categories. This is the same as saying that social boundaries mark cultural boundaries. The meaning of cultural products to producers is very different than to consumers, there is no cultural logic that transcends social boundaries, that is, there is no</w:t>
      </w:r>
      <w:r>
        <w:t xml:space="preserve"> </w:t>
      </w:r>
      <w:r>
        <w:t xml:space="preserve">“</w:t>
      </w:r>
      <w:r>
        <w:t xml:space="preserve">cultural totality</w:t>
      </w:r>
      <w:r>
        <w:t xml:space="preserve">”</w:t>
      </w:r>
      <w:r>
        <w:t xml:space="preserve"> </w:t>
      </w:r>
      <w:r>
        <w:t xml:space="preserve">even at restricted scales.</w:t>
      </w:r>
    </w:p>
    <w:p>
      <w:pPr>
        <w:pStyle w:val="BodyText"/>
      </w:pPr>
      <w:r>
        <w:t xml:space="preserve">Whether this is an accurate depcitions of the arts, it is not adequate for direct adaption to the analysis of scholarly disciplines. The missing variable is the pedagogical nature of social relationships. In pedagogical relations assymetries of cultural understanding are built in to the role structure of social relationships.</w:t>
      </w:r>
    </w:p>
    <w:p>
      <w:pPr>
        <w:pStyle w:val="BodyText"/>
      </w:pPr>
      <w:r>
        <w:t xml:space="preserve">The professional relates to a client.</w:t>
      </w:r>
      <w:r>
        <w:t xml:space="preserve"> </w:t>
      </w:r>
      <w:r>
        <w:t xml:space="preserve">The administrator relates to a subject.</w:t>
      </w:r>
      <w:r>
        <w:t xml:space="preserve"> </w:t>
      </w:r>
      <w:r>
        <w:t xml:space="preserve">The purveyor relates to a customer.</w:t>
      </w:r>
    </w:p>
    <w:p>
      <w:pPr>
        <w:pStyle w:val="BodyText"/>
      </w:pPr>
      <w:r>
        <w:t xml:space="preserve">This may be an accurate</w:t>
      </w:r>
    </w:p>
    <w:p>
      <w:pPr>
        <w:pStyle w:val="BodyText"/>
      </w:pPr>
      <w:r>
        <w:t xml:space="preserve">DiMaggio discusses three organizational forms–commercial, professional, and administrative–as explaining gen</w:t>
      </w:r>
    </w:p>
    <w:p>
      <w:pPr>
        <w:pStyle w:val="Heading3"/>
      </w:pPr>
      <w:bookmarkStart w:id="66" w:name="generic-vs-typical"/>
      <w:r>
        <w:t xml:space="preserve">Generic vs Typical</w:t>
      </w:r>
      <w:bookmarkEnd w:id="66"/>
    </w:p>
    <w:p>
      <w:pPr>
        <w:pStyle w:val="FirstParagraph"/>
      </w:pPr>
      <w:r>
        <w:t xml:space="preserve">Following Schutz all cognition is process that begins by matching knowledge to experience via an intial process of typification. Empirical objects are categorized according to types, and our knowledge is also indexed according to those types. We know what to do once we have typed an object and matched it to type organized knowledge.</w:t>
      </w:r>
    </w:p>
    <w:p>
      <w:pPr>
        <w:pStyle w:val="BodyText"/>
      </w:pPr>
      <w:r>
        <w:t xml:space="preserve">Genres</w:t>
      </w:r>
    </w:p>
    <w:p>
      <w:pPr>
        <w:pStyle w:val="BodyText"/>
      </w:pPr>
      <w:r>
        <w:t xml:space="preserve">In non market societies, FCPs are financed by state patronage. Here esoteric cultures that have no need of a laity will be invisible to most of the members of the society, and their knowledge will be naturally excludable. Market societies organize</w:t>
      </w:r>
    </w:p>
    <w:p>
      <w:pPr>
        <w:pStyle w:val="BodyText"/>
      </w:pPr>
      <w:r>
        <w:t xml:space="preserve">Schutz (</w:t>
      </w:r>
      <w:hyperlink w:anchor="ref-Schutz1970Reflections">
        <w:r>
          <w:rPr>
            <w:rStyle w:val="Hyperlink"/>
          </w:rPr>
          <w:t xml:space="preserve">1970</w:t>
        </w:r>
      </w:hyperlink>
      <w:r>
        <w:t xml:space="preserve">)</w:t>
      </w:r>
    </w:p>
    <w:p>
      <w:pPr>
        <w:pStyle w:val="BodyText"/>
      </w:pPr>
      <w:r>
        <w:t xml:space="preserve">Beer</w:t>
      </w:r>
      <w:r>
        <w:t xml:space="preserve"> </w:t>
      </w:r>
      <w:r>
        <w:t xml:space="preserve">(</w:t>
      </w:r>
      <w:hyperlink w:anchor="ref-Beer2013Genre">
        <w:r>
          <w:rPr>
            <w:rStyle w:val="Hyperlink"/>
          </w:rPr>
          <w:t xml:space="preserve">2013</w:t>
        </w:r>
      </w:hyperlink>
      <w:r>
        <w:t xml:space="preserve">)</w:t>
      </w:r>
      <w:r>
        <w:t xml:space="preserve"> </w:t>
      </w:r>
      <w:r>
        <w:t xml:space="preserve">posits genre as a form of Foucaultian classification where a formal</w:t>
      </w:r>
      <w:r>
        <w:t xml:space="preserve"> </w:t>
      </w:r>
      <w:r>
        <w:t xml:space="preserve">“</w:t>
      </w:r>
      <w:r>
        <w:t xml:space="preserve">grid</w:t>
      </w:r>
      <w:r>
        <w:t xml:space="preserve">”</w:t>
      </w:r>
      <w:r>
        <w:t xml:space="preserve"> </w:t>
      </w:r>
      <w:r>
        <w:t xml:space="preserve">of knowledge structures observations while inviting subversive criticism. Missing in the use of Foucault is a sense of historical transition between types of knowledge. Scientific knowledge passed through stages limited by new concepts of order. The grid or classification logic was replaced by causal logic in a process spanning generations.</w:t>
      </w:r>
      <w:r>
        <w:t xml:space="preserve"> </w:t>
      </w:r>
      <w:r>
        <w:t xml:space="preserve">(Foucault</w:t>
      </w:r>
      <w:r>
        <w:t xml:space="preserve"> </w:t>
      </w:r>
      <w:hyperlink w:anchor="ref-Foucault2002order">
        <w:r>
          <w:rPr>
            <w:rStyle w:val="Hyperlink"/>
          </w:rPr>
          <w:t xml:space="preserve">2002</w:t>
        </w:r>
      </w:hyperlink>
      <w:r>
        <w:t xml:space="preserve">:150)</w:t>
      </w:r>
      <w:r>
        <w:t xml:space="preserve"> </w:t>
      </w:r>
      <w:r>
        <w:t xml:space="preserve">Reading Foucault as a developmental theory means that a classification logic provides the knowledge necessary to envision a causal logic. In this sense, a reified and possibly stitled genre classification system is generative of a more nuanced causal logic in that it provides an anchor and set of easily workable tacit arguments; sociology is different from anthroplogy because of a deployed catalogical schema. Beer however puts formal and informal genre systems into an ahistorical relation; formal genres are not generative of causal explanations of genre, but rather they are power structures against which interested actors struggle to either support or efface.</w:t>
      </w:r>
    </w:p>
    <w:p>
      <w:pPr>
        <w:pStyle w:val="BodyText"/>
      </w:pPr>
      <w:r>
        <w:t xml:space="preserve">Foucaultian genre requires a method of description, and the components of the method describe or order observations of the thing. Genres do not work this way except in a post-hoc way, as the recent controversy over the single Country Road illustrates. Genres in this sense actually work as a pre-classification Classical system, as pure language in which knowledge is knitted together by merely tracking down uses of the term. Genres amount to anyone’s use of the genres as terms. Genre criticsm operates in this mode; genres are leverged to inflrate deflate the reputation of particular social alters. Far from describing the characteristics of the music, genre as a term encompasses how the genres are used, such as in their influence on scene formations and fashion. These are primitive forms of knowledge if Foucault’s account of science is taken developmentally.</w:t>
      </w:r>
    </w:p>
    <w:p>
      <w:pPr>
        <w:pStyle w:val="BodyText"/>
      </w:pPr>
      <w:r>
        <w:t xml:space="preserve">Marxian structural development classically contends that stages of history cannot be skipped. Some theorists partially relax this model with a version of structural memory wherein a society that has undergone a transition into a particular stage of development, the resources genreating the relationsihps of the previous stages are already available. This is why development is slow first, but when the process has been played it may be replayed at much greater speed, and it may be played out of order. What is normally mapped to a process of time may in an advanced stage be mapped to different dimensions. The one we will be concered with is a status dimension. The classical form of knowledge, wherein it is stiched together piecemeal by focus on the language, the use of the term, leaving little coherence to the threads so collected, is simple and available always. The more structure classificaiton according to a rule-based grid is more advanced. Rather than being available only in time, after it’s invention, it may be aviaalbe as an asymmetry of training or socializaiton. Grid-knowledge may be utilized among the clerics and not available to the laity. At the core of the clerics, the elite of the esoterics, the most complicated stage of causal reasoning, is available to even fewer people. Boulding, in his own genre scheme, called the same the distinction between frameworks and clockworks</w:t>
      </w:r>
      <w:r>
        <w:t xml:space="preserve"> </w:t>
      </w:r>
      <w:r>
        <w:t xml:space="preserve">(Boulding</w:t>
      </w:r>
      <w:r>
        <w:t xml:space="preserve"> </w:t>
      </w:r>
      <w:hyperlink w:anchor="ref-Boulding1956General">
        <w:r>
          <w:rPr>
            <w:rStyle w:val="Hyperlink"/>
          </w:rPr>
          <w:t xml:space="preserve">1956</w:t>
        </w:r>
      </w:hyperlink>
      <w:r>
        <w:t xml:space="preserve">:202)</w:t>
      </w:r>
      <w:r>
        <w:t xml:space="preserve">.</w:t>
      </w:r>
    </w:p>
    <w:p>
      <w:pPr>
        <w:pStyle w:val="BodyText"/>
      </w:pPr>
      <w:r>
        <w:t xml:space="preserve">What this view allows us to ask is, for Beer’s emphasis on the critical use of genre categories, does it matter that the laity flirt with classical kinds of knowledge. Does it, as Beer suggests, work to reform the genre categories? Or on the other hand, to the institutions of formal categorization easily ignore such debates, or do they rather have aggreagtion systems of their own to handle</w:t>
      </w:r>
      <w:r>
        <w:t xml:space="preserve"> </w:t>
      </w:r>
      <w:r>
        <w:t xml:space="preserve">“</w:t>
      </w:r>
      <w:r>
        <w:t xml:space="preserve">deomcratic</w:t>
      </w:r>
      <w:r>
        <w:t xml:space="preserve">”</w:t>
      </w:r>
      <w:r>
        <w:t xml:space="preserve"> </w:t>
      </w:r>
      <w:r>
        <w:t xml:space="preserve">or market research processes like genre term searches?</w:t>
      </w:r>
    </w:p>
    <w:p>
      <w:pPr>
        <w:pStyle w:val="Heading2"/>
      </w:pPr>
      <w:bookmarkStart w:id="67" w:name="kd-dq1"/>
      <w:r>
        <w:t xml:space="preserve">JSTOR Journals</w:t>
      </w:r>
      <w:bookmarkEnd w:id="67"/>
    </w:p>
    <w:p>
      <w:pPr>
        <w:pStyle w:val="FirstParagraph"/>
      </w:pPr>
      <w:r>
        <w:t xml:space="preserve">Genre classifications are totalizing, as any factor or product in a field of production can be labeled and sorted according to a categorical logic.</w:t>
      </w:r>
    </w:p>
    <w:p>
      <w:pPr>
        <w:pStyle w:val="BodyText"/>
      </w:pPr>
      <w:r>
        <w:t xml:space="preserve">We rely on the JSTOR digital archive which gives access to optical scans of historical journals. JSTOR provides a title list of their journal coverage</w:t>
      </w:r>
      <w:r>
        <w:t xml:space="preserve"> </w:t>
      </w:r>
      <w:r>
        <w:t xml:space="preserve">(JSTOR</w:t>
      </w:r>
      <w:r>
        <w:t xml:space="preserve"> </w:t>
      </w:r>
      <w:hyperlink w:anchor="ref-JSTOR2018Title">
        <w:r>
          <w:rPr>
            <w:rStyle w:val="Hyperlink"/>
          </w:rPr>
          <w:t xml:space="preserve">2018</w:t>
        </w:r>
      </w:hyperlink>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68"/>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69" w:name="network-mode-projection"/>
      <w:r>
        <w:t xml:space="preserve">Network Mode Projection</w:t>
      </w:r>
      <w:bookmarkEnd w:id="69"/>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11</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CaptionedFigure"/>
      </w:pPr>
      <w:r>
        <w:drawing>
          <wp:inline>
            <wp:extent cx="5334000" cy="2667000"/>
            <wp:effectExtent b="0" l="0" r="0" t="0"/>
            <wp:docPr descr="Figure 11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11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11</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seven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71" w:name="network-community-detection"/>
      <w:r>
        <w:t xml:space="preserve">Network Community Detection</w:t>
      </w:r>
      <w:bookmarkEnd w:id="71"/>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 Fortunato and Hric</w:t>
      </w:r>
      <w:r>
        <w:t xml:space="preserve"> </w:t>
      </w:r>
      <w:hyperlink w:anchor="ref-Fortunato2016Community">
        <w:r>
          <w:rPr>
            <w:rStyle w:val="Hyperlink"/>
          </w:rPr>
          <w:t xml:space="preserve">2016</w:t>
        </w:r>
      </w:hyperlink>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(Blondel et al.</w:t>
      </w:r>
      <w:r>
        <w:t xml:space="preserve"> </w:t>
      </w:r>
      <w:hyperlink w:anchor="ref-Blondel2008Fast">
        <w:r>
          <w:rPr>
            <w:rStyle w:val="Hyperlink"/>
          </w:rPr>
          <w:t xml:space="preserve">2008</w:t>
        </w:r>
      </w:hyperlink>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(Newman and Girvan</w:t>
      </w:r>
      <w:r>
        <w:t xml:space="preserve"> </w:t>
      </w:r>
      <w:hyperlink w:anchor="ref-Newman2004Finding">
        <w:r>
          <w:rPr>
            <w:rStyle w:val="Hyperlink"/>
          </w:rPr>
          <w:t xml:space="preserve">2004</w:t>
        </w:r>
      </w:hyperlink>
      <w:r>
        <w:t xml:space="preserve">:8)</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72" w:name="network-visualization"/>
      <w:r>
        <w:t xml:space="preserve">Network Visualization</w:t>
      </w:r>
      <w:bookmarkEnd w:id="72"/>
    </w:p>
    <w:p>
      <w:pPr>
        <w:pStyle w:val="FirstParagraph"/>
      </w:pPr>
      <w:r>
        <w:t xml:space="preserve">Figure</w:t>
      </w:r>
      <w:r>
        <w:t xml:space="preserve"> </w:t>
      </w:r>
      <w:r>
        <w:t xml:space="preserve">12</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 Krivitsky and Handcock</w:t>
      </w:r>
      <w:r>
        <w:t xml:space="preserve"> </w:t>
      </w:r>
      <w:hyperlink w:anchor="ref-Krivitsky2008Fitting">
        <w:r>
          <w:rPr>
            <w:rStyle w:val="Hyperlink"/>
          </w:rPr>
          <w:t xml:space="preserve">2008</w:t>
        </w:r>
      </w:hyperlink>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12</w:t>
      </w:r>
      <w:r>
        <w:t xml:space="preserve"> </w:t>
      </w:r>
      <w:r>
        <w:t xml:space="preserve">plots the results of a latent space model on the label facet omitting superdiscipline nodes.</w:t>
      </w:r>
    </w:p>
    <w:p>
      <w:pPr>
        <w:pStyle w:val="CaptionedFigure"/>
      </w:pPr>
      <w:r>
        <w:drawing>
          <wp:inline>
            <wp:extent cx="5334000" cy="4267200"/>
            <wp:effectExtent b="0" l="0" r="0" t="0"/>
            <wp:docPr descr="Figure 12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CaptionedFigure"/>
      </w:pPr>
      <w:r>
        <w:drawing>
          <wp:inline>
            <wp:extent cx="5334000" cy="4267200"/>
            <wp:effectExtent b="0" l="0" r="0" t="0"/>
            <wp:docPr descr="Figure 13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1"/>
      </w:pPr>
      <w:bookmarkStart w:id="75" w:name="cit"/>
      <w:r>
        <w:t xml:space="preserve">The Social Science Citation Landscape, 1900-1940</w:t>
      </w:r>
      <w:bookmarkEnd w:id="75"/>
    </w:p>
    <w:p>
      <w:pPr>
        <w:pStyle w:val="Heading4"/>
      </w:pPr>
      <w:bookmarkStart w:id="76" w:name="abstract-2"/>
      <w:r>
        <w:t xml:space="preserve">Abstract</w:t>
      </w:r>
      <w:bookmarkEnd w:id="76"/>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77" w:name="keywords-2"/>
      <w:r>
        <w:t xml:space="preserve">Keywords</w:t>
      </w:r>
      <w:bookmarkEnd w:id="77"/>
    </w:p>
    <w:p>
      <w:pPr>
        <w:pStyle w:val="FirstParagraph"/>
      </w:pPr>
      <w:r>
        <w:t xml:space="preserve">citations, k-clique communities, community detection, landscape</w:t>
      </w:r>
    </w:p>
    <w:p>
      <w:pPr>
        <w:pStyle w:val="Heading2"/>
      </w:pPr>
      <w:bookmarkStart w:id="78" w:name="introduction-1"/>
      <w:r>
        <w:t xml:space="preserve">Introduction</w:t>
      </w:r>
      <w:bookmarkEnd w:id="78"/>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79" w:name="Xf61af20cabc0021a16601ae4546e6d08ea8b12d"/>
      <w:r>
        <w:t xml:space="preserve">Scholarly Communication vs Knowledge Terrain</w:t>
      </w:r>
      <w:bookmarkEnd w:id="79"/>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products</w:t>
      </w:r>
      <w:r>
        <w:t xml:space="preserve"> </w:t>
      </w:r>
      <w:r>
        <w:t xml:space="preserve"> </w:t>
      </w:r>
      <w:r>
        <w:t xml:space="preserve">referenced by socially superior</w:t>
      </w:r>
      <w:r>
        <w:t xml:space="preserve"> </w:t>
      </w:r>
      <w:r>
        <w:t xml:space="preserve"> </w:t>
      </w:r>
      <w:r>
        <w:t xml:space="preserve">producers?</w:t>
      </w:r>
    </w:p>
    <w:p>
      <w:pPr>
        <w:pStyle w:val="Heading3"/>
      </w:pPr>
      <w:bookmarkStart w:id="80" w:name="wok"/>
      <w:r>
        <w:t xml:space="preserve">Mapping Knowledge Terrain</w:t>
      </w:r>
      <w:bookmarkEnd w:id="80"/>
    </w:p>
    <w:p>
      <w:pPr>
        <w:pStyle w:val="Heading4"/>
      </w:pPr>
      <w:bookmarkStart w:id="81" w:name="knowledge-stuff"/>
      <w:r>
        <w:t xml:space="preserve">knowledge stuff</w:t>
      </w:r>
      <w:bookmarkEnd w:id="81"/>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(Pilkington and Meredith</w:t>
      </w:r>
      <w:r>
        <w:t xml:space="preserve"> </w:t>
      </w:r>
      <w:hyperlink w:anchor="ref-Pilkington2009evolution">
        <w:r>
          <w:rPr>
            <w:rStyle w:val="Hyperlink"/>
          </w:rPr>
          <w:t xml:space="preserve">2009</w:t>
        </w:r>
      </w:hyperlink>
      <w:r>
        <w:t xml:space="preserve">)</w:t>
      </w:r>
    </w:p>
    <w:p>
      <w:pPr>
        <w:pStyle w:val="Heading3"/>
      </w:pPr>
      <w:bookmarkStart w:id="82" w:name="X149e5b3b957ca88293814dc48bcf2d2e8d36b2a"/>
      <w:r>
        <w:t xml:space="preserve">Disciplines as a Large World Co-reference Network</w:t>
      </w:r>
      <w:bookmarkEnd w:id="82"/>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83" w:name="methods"/>
      <w:r>
        <w:t xml:space="preserve">Methods</w:t>
      </w:r>
      <w:bookmarkEnd w:id="83"/>
    </w:p>
    <w:p>
      <w:pPr>
        <w:pStyle w:val="Heading2"/>
      </w:pPr>
      <w:bookmarkStart w:id="84" w:name="data-1"/>
      <w:r>
        <w:t xml:space="preserve">Data</w:t>
      </w:r>
      <w:bookmarkEnd w:id="84"/>
    </w:p>
    <w:p>
      <w:pPr>
        <w:pStyle w:val="Heading2"/>
      </w:pPr>
      <w:bookmarkStart w:id="85" w:name="results-1"/>
      <w:r>
        <w:t xml:space="preserve">Results</w:t>
      </w:r>
      <w:bookmarkEnd w:id="85"/>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CaptionedFigure"/>
      </w:pPr>
      <w:r>
        <w:drawing>
          <wp:inline>
            <wp:extent cx="5334000" cy="4267200"/>
            <wp:effectExtent b="0" l="0" r="0" t="0"/>
            <wp:docPr descr="Figure 14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K-clique Community Structure (</w:t>
      </w:r>
      <w:hyperlink r:id="rId87">
        <w:r>
          <w:rPr>
            <w:rStyle w:val="Hyperlink"/>
          </w:rPr>
          <w:t xml:space="preserve">popout</w:t>
        </w:r>
      </w:hyperlink>
      <w:r>
        <w:t xml:space="preserve">)</w:t>
      </w:r>
    </w:p>
    <w:p>
      <w:pPr>
        <w:pStyle w:val="BodyText"/>
      </w:pPr>
      <w:r>
        <w:t xml:space="preserve">Figure</w:t>
      </w:r>
      <w:r>
        <w:t xml:space="preserve"> </w:t>
      </w:r>
      <w:r>
        <w:t xml:space="preserve">14</w:t>
      </w:r>
      <w:r>
        <w:t xml:space="preserve"> </w:t>
      </w:r>
      <w:r>
        <w:t xml:space="preserve">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88" w:name="continents"/>
      <w:r>
        <w:t xml:space="preserve">Continents</w:t>
      </w:r>
      <w:bookmarkEnd w:id="88"/>
    </w:p>
    <w:p>
      <w:pPr>
        <w:pStyle w:val="FirstParagraph"/>
      </w:pPr>
      <w:r>
        <w:t xml:space="preserve">The global map is made of many separate regions ranging in scale from large continents to small isles. These regions are either shawlowly connected or entirely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CaptionedFigure"/>
      </w:pPr>
      <w:r>
        <w:drawing>
          <wp:inline>
            <wp:extent cx="5334000" cy="3429000"/>
            <wp:effectExtent b="0" l="0" r="0" t="0"/>
            <wp:docPr descr="Figure 15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89"/>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15 Flat Isles, where Reviewers tend their Flock</w:t>
      </w:r>
    </w:p>
    <w:p>
      <w:pPr>
        <w:pStyle w:val="BodyText"/>
      </w:pPr>
      <w:r>
        <w:t xml:space="preserve">The most substantial flat isle</w:t>
      </w:r>
      <w:r>
        <w:t xml:space="preserve"> </w:t>
      </w:r>
      <w:r>
        <w:t xml:space="preserve">, the largest unenclosed and unenclosing circle in Figure</w:t>
      </w:r>
      <w:r>
        <w:t xml:space="preserve"> </w:t>
      </w:r>
      <w:r>
        <w:t xml:space="preserve">15</w:t>
      </w:r>
      <w:r>
        <w:t xml:space="preserve">, comes from four authors publishing in the same 1930</w:t>
      </w:r>
      <w:r>
        <w:t xml:space="preserve"> </w:t>
      </w:r>
      <w:hyperlink r:id="rId90">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entirely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w:t>
      </w:r>
    </w:p>
    <w:p>
      <w:pPr>
        <w:pStyle w:val="BodyText"/>
      </w:pPr>
      <w:r>
        <w:t xml:space="preserve">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91">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 </w:t>
      </w:r>
      <w:r>
        <w:t xml:space="preserve">by von Hayek and containing 25 references, includes subsections of the bibliographies of three other articles that do not themselves overlap. Normally the longer a bibliography the more likely it is that an article functions as a review linking other disparate bibliographies. That von Hayek’s article has such a short bibliography and yet still links three otherwise separate articles confirms its derivative character.</w:t>
      </w:r>
    </w:p>
    <w:p>
      <w:pPr>
        <w:pStyle w:val="BodyText"/>
      </w:pPr>
      <w:r>
        <w:t xml:space="preserve">The following features then suggest when a flat isle represents an issue introduction. All articles are published in the same issue. The removal of the longest bibliography in the community yields a network of disconnected components each uniquely representing the remaining bibs. This longest bib is also either the first article in the issue or precedes the others in pagination. These characteristics suggest authorship internal to the editorial process itself. Later we will explore how the removal of such articles helps to reveal</w:t>
      </w:r>
      <w:r>
        <w:t xml:space="preserve"> </w:t>
      </w:r>
      <w:r>
        <w:t xml:space="preserve">“</w:t>
      </w:r>
      <w:r>
        <w:t xml:space="preserve">bottom-up</w:t>
      </w:r>
      <w:r>
        <w:t xml:space="preserve">”</w:t>
      </w:r>
      <w:r>
        <w:t xml:space="preserve"> </w:t>
      </w:r>
      <w:r>
        <w:t xml:space="preserve">structure by removing the editorial advantage of certain authors to bestow an ad hoc intellectual coherence on scholarship.</w:t>
      </w:r>
    </w:p>
    <w:p>
      <w:pPr>
        <w:pStyle w:val="BodyText"/>
      </w:pPr>
      <w:r>
        <w:t xml:space="preserve">Table</w:t>
      </w:r>
      <w:r>
        <w:t xml:space="preserve"> </w:t>
      </w:r>
      <w:r>
        <w:t xml:space="preserve">??</w:t>
      </w:r>
      <w:r>
        <w:t xml:space="preserve"> </w:t>
      </w:r>
      <w:r>
        <w:t xml:space="preserve">enumerates issue introductions and shows how many are the structuring article in their community.</w:t>
      </w:r>
    </w:p>
    <w:p>
      <w:pPr>
        <w:pStyle w:val="CaptionedFigure"/>
      </w:pPr>
      <w:r>
        <w:drawing>
          <wp:inline>
            <wp:extent cx="5334000" cy="3429000"/>
            <wp:effectExtent b="0" l="0" r="0" t="0"/>
            <wp:docPr descr="Figure 16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92"/>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16 Hill Isles, where the Wild Things Are</w:t>
      </w:r>
    </w:p>
    <w:p>
      <w:pPr>
        <w:pStyle w:val="BodyText"/>
      </w:pPr>
      <w:r>
        <w:t xml:space="preserve">Reviews, whether they are self described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CaptionedFigure"/>
      </w:pPr>
      <w:r>
        <w:drawing>
          <wp:inline>
            <wp:extent cx="5334000" cy="4267200"/>
            <wp:effectExtent b="0" l="0" r="0" t="0"/>
            <wp:docPr descr="Figure 17 Hill Isle in Graph Layout" title="" id="1" name="Picture"/>
            <a:graphic>
              <a:graphicData uri="http://schemas.openxmlformats.org/drawingml/2006/picture">
                <pic:pic>
                  <pic:nvPicPr>
                    <pic:cNvPr descr="ambrose_dissertation_files/figure-docx/k3c1-22-1.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Hill Isle in Graph Layout</w:t>
      </w:r>
    </w:p>
    <w:p>
      <w:pPr>
        <w:pStyle w:val="Heading3"/>
      </w:pPr>
      <w:bookmarkStart w:id="94" w:name="peaks"/>
      <w:r>
        <w:t xml:space="preserve">Peaks</w:t>
      </w:r>
      <w:bookmarkEnd w:id="94"/>
    </w:p>
    <w:p>
      <w:pPr>
        <w:pStyle w:val="FirstParagraph"/>
      </w:pPr>
      <w:r>
        <w:t xml:space="preserve">The KCC model reveals</w:t>
      </w:r>
    </w:p>
    <w:p>
      <w:pPr>
        <w:pStyle w:val="Heading3"/>
      </w:pPr>
      <w:bookmarkStart w:id="95" w:name="valleys"/>
      <w:r>
        <w:t xml:space="preserve">Valleys</w:t>
      </w:r>
      <w:bookmarkEnd w:id="95"/>
    </w:p>
    <w:p>
      <w:pPr>
        <w:pStyle w:val="Heading3"/>
      </w:pPr>
      <w:bookmarkStart w:id="96" w:name="X21da6a0927de4cd993063a9db3281001f5ac2e7"/>
      <w:r>
        <w:t xml:space="preserve">Do reference lists describe author knowledge?</w:t>
      </w:r>
      <w:bookmarkEnd w:id="96"/>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97" w:name="voc"/>
      <w:r>
        <w:t xml:space="preserve">Vocabularies of Anthropology and Sociology, 1888-1922</w:t>
      </w:r>
      <w:bookmarkEnd w:id="97"/>
    </w:p>
    <w:p>
      <w:pPr>
        <w:pStyle w:val="Heading4"/>
      </w:pPr>
      <w:bookmarkStart w:id="98" w:name="abstract-3"/>
      <w:r>
        <w:t xml:space="preserve">Abstract</w:t>
      </w:r>
      <w:bookmarkEnd w:id="98"/>
    </w:p>
    <w:p>
      <w:pPr>
        <w:pStyle w:val="FirstParagraph"/>
      </w:pPr>
      <w:r>
        <w:t xml:space="preserve">Knowledge development of journals in sociology and anthropology is measured as the change in topic prevalence over time.</w:t>
      </w:r>
    </w:p>
    <w:p>
      <w:pPr>
        <w:pStyle w:val="Heading4"/>
      </w:pPr>
      <w:bookmarkStart w:id="99" w:name="keywords-3"/>
      <w:r>
        <w:t xml:space="preserve">Keywords</w:t>
      </w:r>
      <w:bookmarkEnd w:id="99"/>
    </w:p>
    <w:p>
      <w:pPr>
        <w:pStyle w:val="FirstParagraph"/>
      </w:pPr>
      <w:r>
        <w:t xml:space="preserve">sociology of knowledge, topic modeling, history of social science</w:t>
      </w:r>
    </w:p>
    <w:p>
      <w:pPr>
        <w:pStyle w:val="Heading2"/>
      </w:pPr>
      <w:bookmarkStart w:id="100" w:name="kd"/>
      <w:r>
        <w:t xml:space="preserve">Knowledge Development</w:t>
      </w:r>
      <w:bookmarkEnd w:id="100"/>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101" w:name="kd-dq2"/>
      <w:r>
        <w:t xml:space="preserve">Social Science Journals</w:t>
      </w:r>
      <w:bookmarkEnd w:id="101"/>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CaptionedFigure"/>
      </w:pPr>
      <w:r>
        <w:drawing>
          <wp:inline>
            <wp:extent cx="5334000" cy="4267200"/>
            <wp:effectExtent b="0" l="0" r="0" t="0"/>
            <wp:docPr descr="Figure 18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18 Periods in the Growth of the Number of Social Science Journals in the JSTOR Archive</w:t>
      </w:r>
    </w:p>
    <w:p>
      <w:pPr>
        <w:pStyle w:val="CaptionedFigure"/>
      </w:pPr>
      <w:r>
        <w:drawing>
          <wp:inline>
            <wp:extent cx="5334000" cy="4267200"/>
            <wp:effectExtent b="0" l="0" r="0" t="0"/>
            <wp:docPr descr="Figure 19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19 Decennial growth in number of PhD degrees conferred in the U.S.</w:t>
      </w:r>
    </w:p>
    <w:p>
      <w:pPr>
        <w:pStyle w:val="CaptionedFigure"/>
      </w:pPr>
      <w:r>
        <w:drawing>
          <wp:inline>
            <wp:extent cx="5334000" cy="4267200"/>
            <wp:effectExtent b="0" l="0" r="0" t="0"/>
            <wp:docPr descr="Figure 20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20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2"/>
      </w:pPr>
      <w:bookmarkStart w:id="105" w:name="topics-ideas"/>
      <w:r>
        <w:t xml:space="preserve">Topics ≟ Ideas</w:t>
      </w:r>
      <w:bookmarkEnd w:id="105"/>
    </w:p>
    <w:p>
      <w:pPr>
        <w:pStyle w:val="FirstParagraph"/>
      </w:pPr>
      <w:r>
        <w:t xml:space="preserve">The strategy of the study occurs in four steps.</w:t>
      </w:r>
    </w:p>
    <w:p>
      <w:pPr>
        <w:pStyle w:val="Compact"/>
        <w:numPr>
          <w:numId w:val="1007"/>
          <w:ilvl w:val="0"/>
        </w:numPr>
      </w:pPr>
      <w:r>
        <w:t xml:space="preserve">Sort text into categories of similar vocabulary.</w:t>
      </w:r>
    </w:p>
    <w:p>
      <w:pPr>
        <w:pStyle w:val="Compact"/>
        <w:numPr>
          <w:numId w:val="1007"/>
          <w:ilvl w:val="0"/>
        </w:numPr>
      </w:pPr>
      <w:r>
        <w:t xml:space="preserve">Describe the vocabularies that define category membership.</w:t>
      </w:r>
    </w:p>
    <w:p>
      <w:pPr>
        <w:pStyle w:val="Compact"/>
        <w:numPr>
          <w:numId w:val="1007"/>
          <w:ilvl w:val="0"/>
        </w:numPr>
      </w:pPr>
      <w:r>
        <w:t xml:space="preserve">Describe vocabulary prevalence across time and discipline.</w:t>
      </w:r>
    </w:p>
    <w:p>
      <w:pPr>
        <w:pStyle w:val="Compact"/>
        <w:numPr>
          <w:numId w:val="1007"/>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106" w:name="kd-lit"/>
      <w:r>
        <w:t xml:space="preserve">Prior Work</w:t>
      </w:r>
      <w:bookmarkEnd w:id="106"/>
    </w:p>
    <w:p>
      <w:pPr>
        <w:pStyle w:val="Heading2"/>
      </w:pPr>
      <w:bookmarkStart w:id="107" w:name="information"/>
      <w:r>
        <w:t xml:space="preserve">Information</w:t>
      </w:r>
      <w:bookmarkEnd w:id="107"/>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(Boyd-Graber, Hu, and Mimno</w:t>
      </w:r>
      <w:r>
        <w:t xml:space="preserve"> </w:t>
      </w:r>
      <w:hyperlink w:anchor="ref-Boyd-Graber2017Applications">
        <w:r>
          <w:rPr>
            <w:rStyle w:val="Hyperlink"/>
          </w:rPr>
          <w:t xml:space="preserve">2017</w:t>
        </w:r>
      </w:hyperlink>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108" w:name="meaning"/>
      <w:r>
        <w:t xml:space="preserve">Meaning</w:t>
      </w:r>
      <w:bookmarkEnd w:id="108"/>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109" w:name="communication"/>
      <w:r>
        <w:t xml:space="preserve">Communication</w:t>
      </w:r>
      <w:bookmarkEnd w:id="109"/>
    </w:p>
    <w:p>
      <w:pPr>
        <w:pStyle w:val="FirstParagraph"/>
      </w:pPr>
      <w:r>
        <w:t xml:space="preserve">representational style</w:t>
      </w:r>
      <w:r>
        <w:t xml:space="preserve"> </w:t>
      </w:r>
      <w:r>
        <w:t xml:space="preserve">(Grimmer</w:t>
      </w:r>
      <w:r>
        <w:t xml:space="preserve"> </w:t>
      </w:r>
      <w:hyperlink w:anchor="ref-Grimmer2016Measuring">
        <w:r>
          <w:rPr>
            <w:rStyle w:val="Hyperlink"/>
          </w:rPr>
          <w:t xml:space="preserve">2016</w:t>
        </w:r>
      </w:hyperlink>
      <w:r>
        <w:t xml:space="preserve">)</w:t>
      </w:r>
      <w:r>
        <w:t xml:space="preserve"> </w:t>
      </w:r>
      <w:r>
        <w:t xml:space="preserve">frame</w:t>
      </w:r>
      <w:r>
        <w:t xml:space="preserve"> </w:t>
      </w:r>
      <w:r>
        <w:t xml:space="preserve">(DiMaggio et al.</w:t>
      </w:r>
      <w:r>
        <w:t xml:space="preserve"> </w:t>
      </w:r>
      <w:hyperlink w:anchor="ref-DiMaggio2013Exploiting">
        <w:r>
          <w:rPr>
            <w:rStyle w:val="Hyperlink"/>
          </w:rPr>
          <w:t xml:space="preserve">2013</w:t>
        </w:r>
      </w:hyperlink>
      <w:r>
        <w:t xml:space="preserve">)</w:t>
      </w:r>
    </w:p>
    <w:p>
      <w:pPr>
        <w:pStyle w:val="Heading2"/>
      </w:pPr>
      <w:bookmarkStart w:id="110" w:name="full-text"/>
      <w:r>
        <w:t xml:space="preserve">Full-Text</w:t>
      </w:r>
      <w:bookmarkEnd w:id="110"/>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(Schreibman</w:t>
      </w:r>
      <w:r>
        <w:t xml:space="preserve"> </w:t>
      </w:r>
      <w:hyperlink w:anchor="ref-Schreibman2014NonConsumptive">
        <w:r>
          <w:rPr>
            <w:rStyle w:val="Hyperlink"/>
          </w:rPr>
          <w:t xml:space="preserve">2014</w:t>
        </w:r>
      </w:hyperlink>
      <w:r>
        <w:t xml:space="preserve">:149)</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111" w:name="kd-dd"/>
      <w:r>
        <w:t xml:space="preserve">Data</w:t>
      </w:r>
      <w:bookmarkEnd w:id="111"/>
    </w:p>
    <w:p>
      <w:pPr>
        <w:pStyle w:val="FirstParagraph"/>
      </w:pPr>
      <w:r>
        <w:t xml:space="preserve">Every record for every journal was downloaded manually, including front and back matter, articles, and book reviews.</w:t>
      </w:r>
    </w:p>
    <w:p>
      <w:pPr>
        <w:pStyle w:val="Heading2"/>
      </w:pPr>
      <w:bookmarkStart w:id="112" w:name="kd-dp1"/>
      <w:r>
        <w:t xml:space="preserve">Sampling</w:t>
      </w:r>
      <w:bookmarkEnd w:id="112"/>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113" w:name="units-of-analysis"/>
      <w:r>
        <w:t xml:space="preserve">Units of Analysis</w:t>
      </w:r>
      <w:bookmarkEnd w:id="113"/>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114" w:name="kd-dp2"/>
      <w:r>
        <w:t xml:space="preserve">Topics</w:t>
      </w:r>
      <w:bookmarkEnd w:id="114"/>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115" w:name="how-many-topics"/>
      <w:r>
        <w:t xml:space="preserve">How many topics?</w:t>
      </w:r>
      <w:bookmarkEnd w:id="115"/>
    </w:p>
    <w:p>
      <w:pPr>
        <w:pStyle w:val="CaptionedFigure"/>
      </w:pPr>
      <w:r>
        <w:drawing>
          <wp:inline>
            <wp:extent cx="4620126" cy="3696101"/>
            <wp:effectExtent b="0" l="0" r="0" t="0"/>
            <wp:docPr descr="Figure 21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CaptionedFigure"/>
      </w:pPr>
      <w:r>
        <w:drawing>
          <wp:inline>
            <wp:extent cx="4620126" cy="3696101"/>
            <wp:effectExtent b="0" l="0" r="0" t="0"/>
            <wp:docPr descr="Figure 22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Significant Counts of K</w:t>
      </w:r>
    </w:p>
    <w:p>
      <w:pPr>
        <w:pStyle w:val="Heading2"/>
      </w:pPr>
      <w:bookmarkStart w:id="118" w:name="model-selection"/>
      <w:r>
        <w:t xml:space="preserve">Model selection</w:t>
      </w:r>
      <w:bookmarkEnd w:id="118"/>
    </w:p>
    <w:p>
      <w:pPr>
        <w:pStyle w:val="Heading1"/>
      </w:pPr>
      <w:bookmarkStart w:id="119" w:name="ten"/>
      <w:r>
        <w:t xml:space="preserve">The Development of Intensive Referencing</w:t>
      </w:r>
      <w:bookmarkEnd w:id="119"/>
    </w:p>
    <w:p>
      <w:pPr>
        <w:pStyle w:val="Heading4"/>
      </w:pPr>
      <w:bookmarkStart w:id="120" w:name="abstract-4"/>
      <w:r>
        <w:t xml:space="preserve">Abstract</w:t>
      </w:r>
      <w:bookmarkEnd w:id="120"/>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Heading4"/>
      </w:pPr>
      <w:bookmarkStart w:id="121" w:name="keywords-4"/>
      <w:r>
        <w:t xml:space="preserve">Keywords</w:t>
      </w:r>
      <w:bookmarkEnd w:id="121"/>
    </w:p>
    <w:p>
      <w:pPr>
        <w:pStyle w:val="FirstParagraph"/>
      </w:pPr>
      <w:r>
        <w:t xml:space="preserve">poisson, permutation test, historical development, citation, bibliometry, history of social science</w:t>
      </w:r>
    </w:p>
    <w:p>
      <w:pPr>
        <w:pStyle w:val="BodyText"/>
      </w:pPr>
      <w:r>
        <w:t xml:space="preserve">##intro</w:t>
      </w:r>
    </w:p>
    <w:p>
      <w:pPr>
        <w:pStyle w:val="BodyText"/>
      </w:pPr>
      <w:r>
        <w:t xml:space="preserve">The citation network of scholarship is a critical analytical tool in bibliometry; indeed the field was revolutionized by the advent of citation indexing.</w:t>
      </w:r>
      <w:r>
        <w:t xml:space="preserve"> </w:t>
      </w:r>
      <w:r>
        <w:t xml:space="preserve">Nonetheless the concept has alternately been treated as an analytical device and as a characterization of the phenomenon, what I will call an ontology. These are very different approaches to citation networks. As analytical device, citation networks are instruments by which the researcher uncovers features of scholarship that were not visible without application of the network. For instance, a citation network may reveal a cluster indicating the presence of an invisible college. The invisible college is not itself a citation network; perhaps it is research partnership may be a local phenomenon explained by facts on the ground that have little to do with citations. When treated as an ontology, the researcher reifies the citation network as the real phenomenon; the network tends to explain itself. An article, in making a citation, creates a conduit allowing knowledge or influence to flow into it. It is via the citation that knowledge happens.</w:t>
      </w:r>
      <w:r>
        <w:t xml:space="preserve"> </w:t>
      </w:r>
      <w:r>
        <w:t xml:space="preserve">The ontology may depend on how the citation network is constructed. In a knowledge flow network, citations are directed links, and sending and receiving articles have equal status as nodes. In a co-reference network, citations are nodes, and articles are links among those citations appearing in the articles’ bibliographies. Because such a network is undirected there can be no ontology of knowledge flow.</w:t>
      </w:r>
      <w:r>
        <w:t xml:space="preserve"> </w:t>
      </w:r>
      <w:r>
        <w:t xml:space="preserve">The citation network, however, is an historical development that privileges the professional aspect of the university.</w:t>
      </w:r>
      <w:r>
        <w:t xml:space="preserve"> </w:t>
      </w:r>
      <w:r>
        <w:t xml:space="preserve">The citation network allows national and international relations to dominate local ones. It allows publication to dominate all other venues of intellectual production.</w:t>
      </w:r>
    </w:p>
    <w:p>
      <w:pPr>
        <w:pStyle w:val="Heading2"/>
      </w:pPr>
      <w:bookmarkStart w:id="122" w:name="method-1"/>
      <w:r>
        <w:t xml:space="preserve">method</w:t>
      </w:r>
      <w:bookmarkEnd w:id="122"/>
    </w:p>
    <w:p>
      <w:pPr>
        <w:pStyle w:val="FirstParagraph"/>
      </w:pPr>
      <w:r>
        <w:t xml:space="preserve">For every year, find distribution of bibliography size.</w:t>
      </w:r>
      <w:r>
        <w:t xml:space="preserve"> </w:t>
      </w:r>
      <w:r>
        <w:t xml:space="preserve">We will draw from this to show the effect of variation in bibliography lengths. We may already surmise that extreme values will create some instability.</w:t>
      </w:r>
    </w:p>
    <w:p>
      <w:pPr>
        <w:pStyle w:val="BodyText"/>
      </w:pPr>
      <w:r>
        <w:t xml:space="preserve">For every year, find edge weight distribution, including zeroes.</w:t>
      </w:r>
    </w:p>
    <w:p>
      <w:pPr>
        <w:pStyle w:val="BodyText"/>
      </w:pPr>
      <w:r>
        <w:t xml:space="preserve">Find size of total</w:t>
      </w:r>
      <w:r>
        <w:t xml:space="preserve"> </w:t>
      </w:r>
      <w:r>
        <w:t xml:space="preserve">“</w:t>
      </w:r>
      <w:r>
        <w:t xml:space="preserve">space</w:t>
      </w:r>
      <w:r>
        <w:t xml:space="preserve">”</w:t>
      </w:r>
      <w:r>
        <w:t xml:space="preserve"> </w:t>
      </w:r>
      <w:r>
        <w:t xml:space="preserve">in which edes might be laid down. Find total number of co-citations.</w:t>
      </w:r>
    </w:p>
    <w:p>
      <w:pPr>
        <w:pStyle w:val="BodyText"/>
      </w:pPr>
      <w:r>
        <w:t xml:space="preserve">Simulate simple poisson in that space.</w:t>
      </w:r>
    </w:p>
    <w:p>
      <w:pPr>
        <w:pStyle w:val="BodyText"/>
      </w:pPr>
      <w:r>
        <w:t xml:space="preserve">Compare to simulation of actually bibliographies in that space.</w:t>
      </w:r>
    </w:p>
    <w:p>
      <w:pPr>
        <w:pStyle w:val="BodyText"/>
      </w:pPr>
      <w:r>
        <w:t xml:space="preserve">Test hypothesis that there is a move from extensive to intensive development.</w:t>
      </w:r>
    </w:p>
    <w:p>
      <w:pPr>
        <w:pStyle w:val="Heading2"/>
      </w:pPr>
      <w:bookmarkStart w:id="123" w:name="lit-review"/>
      <w:r>
        <w:t xml:space="preserve">lit review</w:t>
      </w:r>
      <w:bookmarkEnd w:id="123"/>
    </w:p>
    <w:bookmarkStart w:id="153" w:name="refs"/>
    <w:bookmarkStart w:id="124" w:name="ref-Beer2013Genre"/>
    <w:p>
      <w:pPr>
        <w:pStyle w:val="Bibliography"/>
      </w:pPr>
      <w:r>
        <w:t xml:space="preserve">Beer, David. 2013. “Genre, Boundary Drawing and the Classificatory Imagination.”</w:t>
      </w:r>
      <w:r>
        <w:t xml:space="preserve"> </w:t>
      </w:r>
      <w:r>
        <w:rPr>
          <w:i/>
        </w:rPr>
        <w:t xml:space="preserve">Cultural Sociology</w:t>
      </w:r>
      <w:r>
        <w:t xml:space="preserve"> </w:t>
      </w:r>
      <w:r>
        <w:t xml:space="preserve">7(2):145–60.</w:t>
      </w:r>
    </w:p>
    <w:bookmarkEnd w:id="124"/>
    <w:bookmarkStart w:id="125" w:name="ref-Blondel2008Fast"/>
    <w:p>
      <w:pPr>
        <w:pStyle w:val="Bibliography"/>
      </w:pPr>
      <w:r>
        <w:t xml:space="preserve">Blondel, Vincent D., Jean-Loup Guillaume, Renaud Lambiotte, and Etienne Lefebvre. 2008. “Fast Unfolding of Communities in Large Networks.”</w:t>
      </w:r>
    </w:p>
    <w:bookmarkEnd w:id="125"/>
    <w:bookmarkStart w:id="126" w:name="ref-Boulding1956General"/>
    <w:p>
      <w:pPr>
        <w:pStyle w:val="Bibliography"/>
      </w:pPr>
      <w:r>
        <w:t xml:space="preserve">Boulding, Kenneth E. 1956. “General Systems Theory-the Skeleton of Science.”</w:t>
      </w:r>
      <w:r>
        <w:t xml:space="preserve"> </w:t>
      </w:r>
      <w:r>
        <w:rPr>
          <w:i/>
        </w:rPr>
        <w:t xml:space="preserve">Management Science</w:t>
      </w:r>
      <w:r>
        <w:t xml:space="preserve"> </w:t>
      </w:r>
      <w:r>
        <w:t xml:space="preserve">2(3):197–208.</w:t>
      </w:r>
    </w:p>
    <w:bookmarkEnd w:id="126"/>
    <w:bookmarkStart w:id="127" w:name="ref-Boyd-Graber2017Applications"/>
    <w:p>
      <w:pPr>
        <w:pStyle w:val="Bibliography"/>
      </w:pPr>
      <w:r>
        <w:t xml:space="preserve">Boyd-Graber, Jordan, Yuening Hu, and David Mimno. 2017. “Applications of Topic Models.”</w:t>
      </w:r>
      <w:r>
        <w:t xml:space="preserve"> </w:t>
      </w:r>
      <w:r>
        <w:rPr>
          <w:i/>
        </w:rPr>
        <w:t xml:space="preserve">Foundations and Trends® in Information Retrieval</w:t>
      </w:r>
      <w:r>
        <w:t xml:space="preserve"> </w:t>
      </w:r>
      <w:r>
        <w:t xml:space="preserve">11(2-3):143–296.</w:t>
      </w:r>
    </w:p>
    <w:bookmarkEnd w:id="127"/>
    <w:bookmarkStart w:id="128" w:name="ref-DiMaggio1987Classification"/>
    <w:p>
      <w:pPr>
        <w:pStyle w:val="Bibliography"/>
      </w:pPr>
      <w:r>
        <w:t xml:space="preserve">DiMaggio, Paul. 1987. “Classification in Art.”</w:t>
      </w:r>
      <w:r>
        <w:t xml:space="preserve"> </w:t>
      </w:r>
      <w:r>
        <w:rPr>
          <w:i/>
        </w:rPr>
        <w:t xml:space="preserve">American Sociological Review</w:t>
      </w:r>
      <w:r>
        <w:t xml:space="preserve"> </w:t>
      </w:r>
      <w:r>
        <w:t xml:space="preserve">52(4):440–55.</w:t>
      </w:r>
    </w:p>
    <w:bookmarkEnd w:id="128"/>
    <w:bookmarkStart w:id="129" w:name="ref-DiMaggio1983Iron"/>
    <w:p>
      <w:pPr>
        <w:pStyle w:val="Bibliography"/>
      </w:pPr>
      <w:r>
        <w:t xml:space="preserve">DiMaggio, Paul J. and Walter W. Powell. 1983. “The Iron Cage Revisited: Institutional Isomorphism and Collective Rationality in Organizational Fields.”</w:t>
      </w:r>
      <w:r>
        <w:t xml:space="preserve"> </w:t>
      </w:r>
      <w:r>
        <w:rPr>
          <w:i/>
        </w:rPr>
        <w:t xml:space="preserve">American Sociological Review</w:t>
      </w:r>
      <w:r>
        <w:t xml:space="preserve"> </w:t>
      </w:r>
      <w:r>
        <w:t xml:space="preserve">48(2):147–60.</w:t>
      </w:r>
    </w:p>
    <w:bookmarkEnd w:id="129"/>
    <w:bookmarkStart w:id="130"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130"/>
    <w:bookmarkStart w:id="131" w:name="ref-Durkheim1893division"/>
    <w:p>
      <w:pPr>
        <w:pStyle w:val="Bibliography"/>
      </w:pPr>
      <w:r>
        <w:t xml:space="preserve">Durkheim, Émile. 1893.</w:t>
      </w:r>
      <w:r>
        <w:t xml:space="preserve"> </w:t>
      </w:r>
      <w:r>
        <w:rPr>
          <w:i/>
        </w:rPr>
        <w:t xml:space="preserve">The Division of Labour in Society</w:t>
      </w:r>
      <w:r>
        <w:t xml:space="preserve">. 2nd. ed. edited by S. Lukes. Basingstoke, Hampshire: Palgrave Macmillan UK.</w:t>
      </w:r>
    </w:p>
    <w:bookmarkEnd w:id="131"/>
    <w:bookmarkStart w:id="132" w:name="ref-Fortunato2016Community"/>
    <w:p>
      <w:pPr>
        <w:pStyle w:val="Bibliography"/>
      </w:pPr>
      <w:r>
        <w:t xml:space="preserve">Fortunato, Santo and Darko Hric. 2016. “Community Detection in Networks: A User Guide.”</w:t>
      </w:r>
      <w:r>
        <w:t xml:space="preserve"> </w:t>
      </w:r>
      <w:r>
        <w:rPr>
          <w:i/>
        </w:rPr>
        <w:t xml:space="preserve">Physics Reports</w:t>
      </w:r>
      <w:r>
        <w:t xml:space="preserve"> </w:t>
      </w:r>
      <w:r>
        <w:t xml:space="preserve">659:1–44.</w:t>
      </w:r>
    </w:p>
    <w:bookmarkEnd w:id="132"/>
    <w:bookmarkStart w:id="133" w:name="ref-Foucault2002order"/>
    <w:p>
      <w:pPr>
        <w:pStyle w:val="Bibliography"/>
      </w:pPr>
      <w:r>
        <w:t xml:space="preserve">Foucault, Michel. 2002.</w:t>
      </w:r>
      <w:r>
        <w:t xml:space="preserve"> </w:t>
      </w:r>
      <w:r>
        <w:rPr>
          <w:i/>
        </w:rPr>
        <w:t xml:space="preserve">The Order of Things: An Archaeology of the Human Sciences</w:t>
      </w:r>
      <w:r>
        <w:t xml:space="preserve">. London: Routledge.</w:t>
      </w:r>
    </w:p>
    <w:bookmarkEnd w:id="133"/>
    <w:bookmarkStart w:id="134" w:name="ref-2012Google"/>
    <w:p>
      <w:pPr>
        <w:pStyle w:val="Bibliography"/>
      </w:pPr>
      <w:r>
        <w:t xml:space="preserve">Google. 2012. “Google Ngram Viewer.”</w:t>
      </w:r>
    </w:p>
    <w:bookmarkEnd w:id="134"/>
    <w:bookmarkStart w:id="135" w:name="ref-Grimmer2016Measuring"/>
    <w:p>
      <w:pPr>
        <w:pStyle w:val="Bibliography"/>
      </w:pPr>
      <w:r>
        <w:t xml:space="preserve">Grimmer, Justin. 2016. “Measuring Representational Style in the House: The Tea Party, Obama, and Legislators’ Changing Expressed Priorities.” Pp. 225–45 in</w:t>
      </w:r>
      <w:r>
        <w:t xml:space="preserve"> </w:t>
      </w:r>
      <w:r>
        <w:rPr>
          <w:i/>
        </w:rPr>
        <w:t xml:space="preserve">Computational Social Science: Discovery and Prediction</w:t>
      </w:r>
      <w:r>
        <w:t xml:space="preserve">,</w:t>
      </w:r>
      <w:r>
        <w:t xml:space="preserve"> </w:t>
      </w:r>
      <w:r>
        <w:rPr>
          <w:i/>
        </w:rPr>
        <w:t xml:space="preserve">Analytical Methods for Social Research</w:t>
      </w:r>
      <w:r>
        <w:t xml:space="preserve">, edited by R. M. Alvarez. New York, NY: Cambridge University Press.</w:t>
      </w:r>
    </w:p>
    <w:bookmarkEnd w:id="135"/>
    <w:bookmarkStart w:id="136" w:name="ref-Hayes2000Assessing"/>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bookmarkEnd w:id="136"/>
    <w:bookmarkStart w:id="137" w:name="ref-James2019ecp"/>
    <w:p>
      <w:pPr>
        <w:pStyle w:val="Bibliography"/>
      </w:pPr>
      <w:r>
        <w:t xml:space="preserve">James, Nicholas A. and Wenyu Zhang and David S. Matteson. 2019. “Ecp: Non-Parametric Multiple Change-Point Analysis of Multivariate Data.”</w:t>
      </w:r>
    </w:p>
    <w:bookmarkEnd w:id="137"/>
    <w:bookmarkStart w:id="138" w:name="ref-JSTOR2018Title"/>
    <w:p>
      <w:pPr>
        <w:pStyle w:val="Bibliography"/>
      </w:pPr>
      <w:r>
        <w:t xml:space="preserve">JSTOR. 2018. “Title Lists.”</w:t>
      </w:r>
      <w:r>
        <w:t xml:space="preserve"> </w:t>
      </w:r>
      <w:r>
        <w:rPr>
          <w:i/>
        </w:rPr>
        <w:t xml:space="preserve">JSTOR Support Home</w:t>
      </w:r>
      <w:r>
        <w:t xml:space="preserve">.</w:t>
      </w:r>
    </w:p>
    <w:bookmarkEnd w:id="138"/>
    <w:bookmarkStart w:id="139" w:name="ref-Krivitsky2008Fitting"/>
    <w:p>
      <w:pPr>
        <w:pStyle w:val="Bibliography"/>
      </w:pPr>
      <w:r>
        <w:t xml:space="preserve">Krivitsky, Pavel N. and Mark S. Handcock. 2008. “Fitting Position Latent Cluster Models for Social Networks with Latentnet.”</w:t>
      </w:r>
      <w:r>
        <w:t xml:space="preserve"> </w:t>
      </w:r>
      <w:r>
        <w:rPr>
          <w:i/>
        </w:rPr>
        <w:t xml:space="preserve">Journal of Statistical Software</w:t>
      </w:r>
      <w:r>
        <w:t xml:space="preserve"> </w:t>
      </w:r>
      <w:r>
        <w:t xml:space="preserve">24.</w:t>
      </w:r>
    </w:p>
    <w:bookmarkEnd w:id="139"/>
    <w:bookmarkStart w:id="140" w:name="ref-Lederberg2000How"/>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bookmarkEnd w:id="140"/>
    <w:bookmarkStart w:id="141" w:name="ref-Lizardo2018mutual"/>
    <w:p>
      <w:pPr>
        <w:pStyle w:val="Bibliography"/>
      </w:pPr>
      <w:r>
        <w:t xml:space="preserve">Lizardo, Omar. 2018. “The Mutual Specification of Genres and Audiences: Reflective Two-Mode Centralities in Person-to-Culture Data.”</w:t>
      </w:r>
      <w:r>
        <w:t xml:space="preserve"> </w:t>
      </w:r>
      <w:r>
        <w:rPr>
          <w:i/>
        </w:rPr>
        <w:t xml:space="preserve">Poetics</w:t>
      </w:r>
      <w:r>
        <w:t xml:space="preserve"> </w:t>
      </w:r>
      <w:r>
        <w:t xml:space="preserve">68:52–71.</w:t>
      </w:r>
    </w:p>
    <w:bookmarkEnd w:id="141"/>
    <w:bookmarkStart w:id="142" w:name="ref-Matteson2013Nonparametric"/>
    <w:p>
      <w:pPr>
        <w:pStyle w:val="Bibliography"/>
      </w:pPr>
      <w:r>
        <w:t xml:space="preserve">Matteson, David S. and Nicholas A. James. 2013. “A Nonparametric Approach for Multiple Change Point Analysis of Multivariate Data.”</w:t>
      </w:r>
      <w:r>
        <w:t xml:space="preserve"> </w:t>
      </w:r>
      <w:r>
        <w:rPr>
          <w:i/>
        </w:rPr>
        <w:t xml:space="preserve">arXiv:1306.4933 [Stat]</w:t>
      </w:r>
      <w:r>
        <w:t xml:space="preserve">.</w:t>
      </w:r>
    </w:p>
    <w:bookmarkEnd w:id="142"/>
    <w:bookmarkStart w:id="143" w:name="ref-Michel2011Quantitative"/>
    <w:p>
      <w:pPr>
        <w:pStyle w:val="Bibliography"/>
      </w:pPr>
      <w:r>
        <w:t xml:space="preserve">Michel, Jean-Baptiste, Yuan Kui Shen, Aviva Presser Aiden, Adrian Veres, Matthew K. Gray, The Google Books Team, Joseph P. Pickett, Dale Hoiberg, Dan Clancy, Peter Norvig, Jon Orwant, Steven Pinker, Martin A. Nowak, and Erez Lieberman Aiden. 2011. “Quantitative Analysis of Culture Using Millions of Digitized Books.”</w:t>
      </w:r>
      <w:r>
        <w:t xml:space="preserve"> </w:t>
      </w:r>
      <w:r>
        <w:rPr>
          <w:i/>
        </w:rPr>
        <w:t xml:space="preserve">Science</w:t>
      </w:r>
      <w:r>
        <w:t xml:space="preserve"> </w:t>
      </w:r>
      <w:r>
        <w:t xml:space="preserve">331(6014):176–82.</w:t>
      </w:r>
    </w:p>
    <w:bookmarkEnd w:id="143"/>
    <w:bookmarkStart w:id="144" w:name="ref-Moretti2005Graphs"/>
    <w:p>
      <w:pPr>
        <w:pStyle w:val="Bibliography"/>
      </w:pPr>
      <w:r>
        <w:t xml:space="preserve">Moretti, Franco. 2005.</w:t>
      </w:r>
      <w:r>
        <w:t xml:space="preserve"> </w:t>
      </w:r>
      <w:r>
        <w:rPr>
          <w:i/>
        </w:rPr>
        <w:t xml:space="preserve">Graphs, Maps, Trees : Abstract Models for a Literary History</w:t>
      </w:r>
      <w:r>
        <w:t xml:space="preserve">. London: Verso.</w:t>
      </w:r>
    </w:p>
    <w:bookmarkEnd w:id="144"/>
    <w:bookmarkStart w:id="145" w:name="ref-Morville2009Ambient"/>
    <w:p>
      <w:pPr>
        <w:pStyle w:val="Bibliography"/>
      </w:pPr>
      <w:r>
        <w:t xml:space="preserve">Morville, Peter. 2009.</w:t>
      </w:r>
      <w:r>
        <w:t xml:space="preserve"> </w:t>
      </w:r>
      <w:r>
        <w:rPr>
          <w:i/>
        </w:rPr>
        <w:t xml:space="preserve">Ambient Findability</w:t>
      </w:r>
      <w:r>
        <w:t xml:space="preserve">. O’Reilly.</w:t>
      </w:r>
    </w:p>
    <w:bookmarkEnd w:id="145"/>
    <w:bookmarkStart w:id="146"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146"/>
    <w:bookmarkStart w:id="147" w:name="ref-Newman2004Finding"/>
    <w:p>
      <w:pPr>
        <w:pStyle w:val="Bibliography"/>
      </w:pPr>
      <w:r>
        <w:t xml:space="preserve">Newman, M. E. J. and M. Girvan. 2004. “Finding and Evaluating Community Structure in Networks.”</w:t>
      </w:r>
      <w:r>
        <w:t xml:space="preserve"> </w:t>
      </w:r>
      <w:r>
        <w:rPr>
          <w:i/>
        </w:rPr>
        <w:t xml:space="preserve">Physical Review E</w:t>
      </w:r>
      <w:r>
        <w:t xml:space="preserve"> </w:t>
      </w:r>
      <w:r>
        <w:t xml:space="preserve">69(2):026113.</w:t>
      </w:r>
    </w:p>
    <w:bookmarkEnd w:id="147"/>
    <w:bookmarkStart w:id="148" w:name="ref-Pilkington2009evolution"/>
    <w:p>
      <w:pPr>
        <w:pStyle w:val="Bibliography"/>
      </w:pPr>
      <w:r>
        <w:t xml:space="preserve">Pilkington, Alan and Jack Meredith. 2009. “The Evolution of the Intellectual Structure of Operations Management—1980–2006: A Citation/Co-Citation Analysis.”</w:t>
      </w:r>
      <w:r>
        <w:t xml:space="preserve"> </w:t>
      </w:r>
      <w:r>
        <w:rPr>
          <w:i/>
        </w:rPr>
        <w:t xml:space="preserve">Journal of Operations Management</w:t>
      </w:r>
      <w:r>
        <w:t xml:space="preserve"> </w:t>
      </w:r>
      <w:r>
        <w:t xml:space="preserve">27(3):185–202.</w:t>
      </w:r>
    </w:p>
    <w:bookmarkEnd w:id="148"/>
    <w:bookmarkStart w:id="149" w:name="ref-Schreibman2014NonConsumptive"/>
    <w:p>
      <w:pPr>
        <w:pStyle w:val="Bibliography"/>
      </w:pPr>
      <w:r>
        <w:t xml:space="preserve">Schreibman, Susan. 2014. “Non-Consumptive Reading.” Pp. 148–65 in</w:t>
      </w:r>
      <w:r>
        <w:t xml:space="preserve"> </w:t>
      </w:r>
      <w:r>
        <w:rPr>
          <w:i/>
        </w:rPr>
        <w:t xml:space="preserve">From Literature to Cultural Literacy</w:t>
      </w:r>
      <w:r>
        <w:t xml:space="preserve">, edited by N. Segal and D. Koleva. London: Palgrave Macmillan UK.</w:t>
      </w:r>
    </w:p>
    <w:bookmarkEnd w:id="149"/>
    <w:bookmarkStart w:id="150" w:name="ref-Schutz1970Reflections"/>
    <w:p>
      <w:pPr>
        <w:pStyle w:val="Bibliography"/>
      </w:pPr>
      <w:r>
        <w:t xml:space="preserve">Schutz, Alfred. 1970.</w:t>
      </w:r>
      <w:r>
        <w:t xml:space="preserve"> </w:t>
      </w:r>
      <w:r>
        <w:rPr>
          <w:i/>
        </w:rPr>
        <w:t xml:space="preserve">Reflections on the Problem of Relevance</w:t>
      </w:r>
      <w:r>
        <w:t xml:space="preserve">. First Edition edition. New Haven: Yale University Press.</w:t>
      </w:r>
    </w:p>
    <w:bookmarkEnd w:id="150"/>
    <w:bookmarkStart w:id="151" w:name="ref-Serino2017Bridging"/>
    <w:p>
      <w:pPr>
        <w:pStyle w:val="Bibliography"/>
      </w:pPr>
      <w:r>
        <w:t xml:space="preserve">Serino, Marco, Daniela D’Ambrosio, and Giancarlo Ragozini. 2017. “Bridging Social Network Analysis and Field Theory Through Multidimensional Data Analysis: The Case of the Theatrical Field.”</w:t>
      </w:r>
      <w:r>
        <w:t xml:space="preserve"> </w:t>
      </w:r>
      <w:r>
        <w:rPr>
          <w:i/>
        </w:rPr>
        <w:t xml:space="preserve">Poetics</w:t>
      </w:r>
      <w:r>
        <w:t xml:space="preserve"> </w:t>
      </w:r>
      <w:r>
        <w:t xml:space="preserve">62:66–80.</w:t>
      </w:r>
    </w:p>
    <w:bookmarkEnd w:id="151"/>
    <w:bookmarkStart w:id="152" w:name="ref-Shi2015Weaving"/>
    <w:p>
      <w:pPr>
        <w:pStyle w:val="Bibliography"/>
      </w:pPr>
      <w:r>
        <w:t xml:space="preserve">Shi, Feng, Jacob G. Foster, and James A. Evans. 2015. “Weaving the Fabric of Science: Dynamic Network Models of Science’s Unfolding Structure.”</w:t>
      </w:r>
      <w:r>
        <w:t xml:space="preserve"> </w:t>
      </w:r>
      <w:r>
        <w:rPr>
          <w:i/>
        </w:rPr>
        <w:t xml:space="preserve">Social Networks</w:t>
      </w:r>
      <w:r>
        <w:t xml:space="preserve"> </w:t>
      </w:r>
      <w:r>
        <w:t xml:space="preserve">43:73–85.</w:t>
      </w:r>
    </w:p>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TODO, I did not, but should take a random draw of the same size to serve as a control.</w:t>
      </w:r>
    </w:p>
  </w:footnote>
  <w:footnote w:id="43">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47">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48">
    <w:p>
      <w:pPr>
        <w:pStyle w:val="FootnoteText"/>
      </w:pPr>
      <w:r>
        <w:rPr>
          <w:rStyle w:val="FootnoteReference"/>
        </w:rPr>
        <w:footnoteRef/>
      </w:r>
      <w:r>
        <w:t xml:space="preserve"> </w:t>
      </w:r>
      <w:r>
        <w:t xml:space="preserve">www.jstor.org/stable/10.2307/27909026</w:t>
      </w:r>
    </w:p>
  </w:footnote>
  <w:footnote w:id="50">
    <w:p>
      <w:pPr>
        <w:pStyle w:val="FootnoteText"/>
      </w:pPr>
      <w:r>
        <w:rPr>
          <w:rStyle w:val="FootnoteReference"/>
        </w:rPr>
        <w:footnoteRef/>
      </w:r>
      <w:r>
        <w:t xml:space="preserve"> </w:t>
      </w:r>
      <w:r>
        <w:t xml:space="preserve">www.jstor.org/stable/10.2307/43795866</w:t>
      </w:r>
    </w:p>
  </w:footnote>
  <w:footnote w:id="68">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73" Target="media/rId73.png" /><Relationship Type="http://schemas.openxmlformats.org/officeDocument/2006/relationships/image" Id="rId102" Target="media/rId102.png"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74" Target="media/rId74.png" /><Relationship Type="http://schemas.openxmlformats.org/officeDocument/2006/relationships/image" Id="rId117" Target="media/rId117.png" /><Relationship Type="http://schemas.openxmlformats.org/officeDocument/2006/relationships/image" Id="rId70" Target="media/rId70.png" /><Relationship Type="http://schemas.openxmlformats.org/officeDocument/2006/relationships/image" Id="rId104" Target="media/rId104.png" /><Relationship Type="http://schemas.openxmlformats.org/officeDocument/2006/relationships/image" Id="rId103" Target="media/rId103.png" /><Relationship Type="http://schemas.openxmlformats.org/officeDocument/2006/relationships/image" Id="rId116" Target="media/rId116.png" /><Relationship Type="http://schemas.openxmlformats.org/officeDocument/2006/relationships/image" Id="rId54" Target="media/rId5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 Type="http://schemas.openxmlformats.org/officeDocument/2006/relationships/hyperlink" Id="rId57" Target="https://mercury.dlab.berkeley.edu:2018" TargetMode="External" /><Relationship Type="http://schemas.openxmlformats.org/officeDocument/2006/relationships/hyperlink" Id="rId90" Target="https://www.jstor.org/stable/i40084238" TargetMode="External" /><Relationship Type="http://schemas.openxmlformats.org/officeDocument/2006/relationships/hyperlink" Id="rId91" Target="https://www.jstor.org/stable/i40084262" TargetMode="External" /><Relationship Type="http://schemas.openxmlformats.org/officeDocument/2006/relationships/hyperlink" Id="rId87" Target="tre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 Type="http://schemas.openxmlformats.org/officeDocument/2006/relationships/hyperlink" Id="rId57" Target="https://mercury.dlab.berkeley.edu:2018" TargetMode="External" /><Relationship Type="http://schemas.openxmlformats.org/officeDocument/2006/relationships/hyperlink" Id="rId90" Target="https://www.jstor.org/stable/i40084238" TargetMode="External" /><Relationship Type="http://schemas.openxmlformats.org/officeDocument/2006/relationships/hyperlink" Id="rId91" Target="https://www.jstor.org/stable/i40084262" TargetMode="External" /><Relationship Type="http://schemas.openxmlformats.org/officeDocument/2006/relationships/hyperlink" Id="rId87"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2019-07-15T10:01:57Z</dcterms:created>
  <dcterms:modified xsi:type="dcterms:W3CDTF">2019-07-15T10:01:57Z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2019-07-15</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