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0.png" ContentType="image/png"/>
  <Override PartName="/word/media/rId48.png" ContentType="image/png"/>
  <Override PartName="/word/media/rId69.png" ContentType="image/png"/>
  <Override PartName="/word/media/rId98.png" ContentType="image/png"/>
  <Override PartName="/word/media/rId89.png" ContentType="image/png"/>
  <Override PartName="/word/media/rId82.png" ContentType="image/png"/>
  <Override PartName="/word/media/rId70.png" ContentType="image/png"/>
  <Override PartName="/word/media/rId113.png" ContentType="image/png"/>
  <Override PartName="/word/media/rId66.png" ContentType="image/png"/>
  <Override PartName="/word/media/rId100.png" ContentType="image/png"/>
  <Override PartName="/word/media/rId99.png" ContentType="image/png"/>
  <Override PartName="/word/media/rId112.png" ContentType="image/png"/>
  <Override PartName="/word/media/rId35.png" ContentType="image/png"/>
  <Override PartName="/word/media/rId36.png" ContentType="image/png"/>
  <Override PartName="/word/media/rId53.png" ContentType="image/png"/>
  <Override PartName="/word/media/rId85.png" ContentType="image/png"/>
  <Override PartName="/word/media/rId88.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in sociology and anthropology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Heading4"/>
      </w:pPr>
      <w:bookmarkStart w:id="32" w:name="keywords"/>
      <w:r>
        <w:t xml:space="preserve">Keywords</w:t>
      </w:r>
      <w:bookmarkEnd w:id="32"/>
    </w:p>
    <w:p>
      <w:pPr>
        <w:pStyle w:val="FirstParagraph"/>
      </w:pPr>
      <w:r>
        <w:t xml:space="preserve">genre, disciplines, computational text analysis, topic modeling, content analysis, digital humanities, distant reading</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s"/>
      <w:r>
        <w:t xml:space="preserve">Genres</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rigourous, even empirical, treatment of genre as a term in American scholarship.</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of art, especially literature and music,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term differently between and within disciplines.</w:t>
      </w:r>
    </w:p>
    <w:p>
      <w:pPr>
        <w:pStyle w:val="BodyText"/>
      </w:pPr>
      <w:r>
        <w:t xml:space="preserve">Figure</w:t>
      </w:r>
      <w:r>
        <w:t xml:space="preserve"> </w:t>
      </w:r>
      <w:r>
        <w:t xml:space="preserve">2</w:t>
      </w:r>
      <w:r>
        <w:t xml:space="preserve"> </w:t>
      </w:r>
      <w:r>
        <w:t xml:space="preserve">shows the count of mentions of the term genre in the Google Books Ngram database for English terms. The trend exhibits the typical take-off in publishing in the second half of the twentieth century. I apply change point analysis, which detects significant differences in time series data</w:t>
      </w:r>
      <w:r>
        <w:t xml:space="preserve"> </w:t>
      </w:r>
      <w:r>
        <w:t xml:space="preserve">(Chen and Gupta</w:t>
      </w:r>
      <w:r>
        <w:t xml:space="preserve"> </w:t>
      </w:r>
      <w:hyperlink w:anchor="ref-Chen2012Parametric">
        <w:r>
          <w:rPr>
            <w:rStyle w:val="Hyperlink"/>
          </w:rPr>
          <w:t xml:space="preserve">2012</w:t>
        </w:r>
      </w:hyperlink>
      <w:r>
        <w:t xml:space="preserve">; Killick et al.</w:t>
      </w:r>
      <w:r>
        <w:t xml:space="preserve"> </w:t>
      </w:r>
      <w:hyperlink w:anchor="ref-Killick2016changepoint">
        <w:r>
          <w:rPr>
            <w:rStyle w:val="Hyperlink"/>
          </w:rPr>
          <w:t xml:space="preserve">2016</w:t>
        </w:r>
      </w:hyperlink>
      <w:r>
        <w:t xml:space="preserve">)</w:t>
      </w:r>
      <w:r>
        <w:t xml:space="preserve">, to the second difference of the trend, which is a measure of change in acceleration, to get clues as to whether the trend is a single process or whether there are inflection points. The first segment of the curve from 1899 to 1984 indicates a period of positive acceleration or quickening of the growth trend, while the period from 1985 to 2008 represents a period of slowing or negative acceleration. Like a projectile that is simultanously climbing and falling, 1984 acts as launch point of precipitous yet unsustainable growth.</w:t>
      </w:r>
    </w:p>
    <w:p>
      <w:pPr>
        <w:pStyle w:val="CaptionedFigure"/>
      </w:pPr>
      <w:r>
        <w:drawing>
          <wp:inline>
            <wp:extent cx="4620126" cy="3696101"/>
            <wp:effectExtent b="0" l="0" r="0" t="0"/>
            <wp:docPr descr="Figure 2 Historical frequency of term “genre” from Google Ngrams English corpus. Segments connote a change in acceleration (second derivative)." title="" id="1" name="Picture"/>
            <a:graphic>
              <a:graphicData uri="http://schemas.openxmlformats.org/drawingml/2006/picture">
                <pic:pic>
                  <pic:nvPicPr>
                    <pic:cNvPr descr="ambrose_dissertation_files/figure-docx/ttsgn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Historical frequency of term</w:t>
      </w:r>
      <w:r>
        <w:t xml:space="preserve"> </w:t>
      </w:r>
      <w:r>
        <w:t xml:space="preserve">“</w:t>
      </w:r>
      <w:r>
        <w:t xml:space="preserve">genre</w:t>
      </w:r>
      <w:r>
        <w:t xml:space="preserve">”</w:t>
      </w:r>
      <w:r>
        <w:t xml:space="preserve"> </w:t>
      </w:r>
      <w:r>
        <w:t xml:space="preserve">from Google Ngrams English corpus. Segments connote a change in acceleration (second derivative).</w:t>
      </w:r>
    </w:p>
    <w:p>
      <w:pPr>
        <w:pStyle w:val="BodyText"/>
      </w:pPr>
      <w:r>
        <w:t xml:space="preserve">Figure</w:t>
      </w:r>
      <w:r>
        <w:t xml:space="preserve"> </w:t>
      </w:r>
      <w:r>
        <w:t xml:space="preserve">3</w:t>
      </w:r>
      <w:r>
        <w:t xml:space="preserve"> </w:t>
      </w:r>
      <w:r>
        <w:t xml:space="preserve">shows a similar trend but using relative frequencies instead of absolute counts. Here</w:t>
      </w:r>
      <w:r>
        <w:t xml:space="preserve"> </w:t>
      </w:r>
      <w:r>
        <w:t xml:space="preserve">“</w:t>
      </w:r>
      <w:r>
        <w:t xml:space="preserve">genre</w:t>
      </w:r>
      <w:r>
        <w:t xml:space="preserve">”</w:t>
      </w:r>
      <w:r>
        <w:t xml:space="preserve"> </w:t>
      </w:r>
      <w:r>
        <w:t xml:space="preserve">is plotted as its share of all terms in the corpus. This trend exhibits no inflection point at 1984 that is statistically significant, and visually the trend does appear the same on both sides. No other inflections points are detectable due likely to greater year over year variability in this series in the first half of the century, reducing confidence in any estimate of a change point. To interpret this difference in statistical significance between relative and absolute measures would indicate that interest in genre continued to grow even within a secular slow-down in the volume of texts that resembles the familiar S-shaped diffusion curve. Alternatively, on visual inspection of the relative curve it appears that indeed there is an inflection point, just one a decade later in 1996. After this point the relative frequency seems to drop rapidly, a change that would no doubt be picked up statistically after a few more years of data and one that may in fact be located a few years earlier than the peak suggests. Together these trends describe a career to the term genre that has been strong for a century and that may now be in decline.</w:t>
      </w:r>
    </w:p>
    <w:p>
      <w:pPr>
        <w:pStyle w:val="CaptionedFigure"/>
      </w:pPr>
      <w:r>
        <w:drawing>
          <wp:inline>
            <wp:extent cx="4620126" cy="3696101"/>
            <wp:effectExtent b="0" l="0" r="0" t="0"/>
            <wp:docPr descr="Figure 3 Historical frequency of term “genre” from Google Ngrams English corpus. Segments connote a change in acceleration (second derivative)." title="" id="1" name="Picture"/>
            <a:graphic>
              <a:graphicData uri="http://schemas.openxmlformats.org/drawingml/2006/picture">
                <pic:pic>
                  <pic:nvPicPr>
                    <pic:cNvPr descr="ambrose_dissertation_files/figure-docx/ttsgn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Historical frequency of term</w:t>
      </w:r>
      <w:r>
        <w:t xml:space="preserve"> </w:t>
      </w:r>
      <w:r>
        <w:t xml:space="preserve">“</w:t>
      </w:r>
      <w:r>
        <w:t xml:space="preserve">genre</w:t>
      </w:r>
      <w:r>
        <w:t xml:space="preserve">”</w:t>
      </w:r>
      <w:r>
        <w:t xml:space="preserve"> </w:t>
      </w:r>
      <w:r>
        <w:t xml:space="preserve">from Google Ngrams English corpus. Segments connote a change in acceleration (second derivative).</w:t>
      </w:r>
    </w:p>
    <w:p>
      <w:pPr>
        <w:pStyle w:val="CaptionedFigure"/>
      </w:pPr>
      <w:r>
        <w:drawing>
          <wp:inline>
            <wp:extent cx="5334000" cy="4267200"/>
            <wp:effectExtent b="0" l="0" r="0" t="0"/>
            <wp:docPr descr="Figure 4 Wordcloud of third term in 3gram beginning with “genre of”. Source: Google Ngrams" title="" id="1" name="Picture"/>
            <a:graphic>
              <a:graphicData uri="http://schemas.openxmlformats.org/drawingml/2006/picture">
                <pic:pic>
                  <pic:nvPicPr>
                    <pic:cNvPr descr="ambrose_dissertation_files/figure-docx/genre-goog-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Wordcloud of third term in 3gram beginning with</w:t>
      </w:r>
      <w:r>
        <w:t xml:space="preserve"> </w:t>
      </w:r>
      <w:r>
        <w:t xml:space="preserve">“</w:t>
      </w:r>
      <w:r>
        <w:t xml:space="preserve">genre of</w:t>
      </w:r>
      <w:r>
        <w:t xml:space="preserve">”</w:t>
      </w:r>
      <w:r>
        <w:t xml:space="preserve">. Source: Google Ngrams</w:t>
      </w:r>
    </w:p>
    <w:p>
      <w:pPr>
        <w:pStyle w:val="BodyText"/>
      </w:pPr>
      <w:r>
        <w:t xml:space="preserve">Figure</w:t>
      </w:r>
      <w:r>
        <w:t xml:space="preserve"> </w:t>
      </w:r>
      <w:r>
        <w:t xml:space="preserve">4</w:t>
      </w:r>
      <w:r>
        <w:t xml:space="preserve"> </w:t>
      </w:r>
      <w:r>
        <w:t xml:space="preserve">gives an indication of what things the term genre has been used to describe. It illustrates the frequency of terms appearing in the Google Books Ngram corpus as the third term in the trigrams beginning with</w:t>
      </w:r>
      <w:r>
        <w:t xml:space="preserve"> </w:t>
      </w:r>
      <w:r>
        <w:t xml:space="preserve">“</w:t>
      </w:r>
      <w:r>
        <w:t xml:space="preserve">genre of</w:t>
      </w:r>
      <w:r>
        <w:t xml:space="preserve">”</w:t>
      </w:r>
      <w:r>
        <w:t xml:space="preserve"> </w:t>
      </w:r>
      <w:r>
        <w:t xml:space="preserve">or</w:t>
      </w:r>
      <w:r>
        <w:t xml:space="preserve"> </w:t>
      </w:r>
      <w:r>
        <w:t xml:space="preserve">“</w:t>
      </w:r>
      <w:r>
        <w:t xml:space="preserve">genres of</w:t>
      </w:r>
      <w:r>
        <w:t xml:space="preserve">”</w:t>
      </w:r>
      <w:r>
        <w:t xml:space="preserve">. The size of the words is proportional to the total frequency of the trigram in the English corpus, which spans centuries from 1590 to 2008</w:t>
      </w:r>
      <w:r>
        <w:t xml:space="preserve"> </w:t>
      </w:r>
      <w:r>
        <w:t xml:space="preserve">(</w:t>
      </w:r>
      <w:r>
        <w:rPr>
          <w:b/>
        </w:rPr>
        <w:t xml:space="preserve">???</w:t>
      </w:r>
      <w:r>
        <w:t xml:space="preserve">)</w:t>
      </w:r>
      <w:r>
        <w:t xml:space="preserve">. The bias of the source–books–is clear in the outsized importance of</w:t>
      </w:r>
      <w:r>
        <w:t xml:space="preserve"> </w:t>
      </w:r>
      <w:r>
        <w:t xml:space="preserve">“</w:t>
      </w:r>
      <w:r>
        <w:t xml:space="preserve">literature</w:t>
      </w:r>
      <w:r>
        <w:t xml:space="preserve">”</w:t>
      </w:r>
      <w:r>
        <w:t xml:space="preserve"> </w:t>
      </w:r>
      <w:r>
        <w:t xml:space="preserve">and</w:t>
      </w:r>
      <w:r>
        <w:t xml:space="preserve"> </w:t>
      </w:r>
      <w:r>
        <w:t xml:space="preserve">“</w:t>
      </w:r>
      <w:r>
        <w:t xml:space="preserve">writing</w:t>
      </w:r>
      <w:r>
        <w:t xml:space="preserve">”</w:t>
      </w:r>
      <w:r>
        <w:t xml:space="preserve"> </w:t>
      </w:r>
      <w:r>
        <w:t xml:space="preserve">which are followed closely by</w:t>
      </w:r>
      <w:r>
        <w:t xml:space="preserve"> </w:t>
      </w:r>
      <w:r>
        <w:t xml:space="preserve">“</w:t>
      </w:r>
      <w:r>
        <w:t xml:space="preserve">music</w:t>
      </w:r>
      <w:r>
        <w:t xml:space="preserve">”</w:t>
      </w:r>
      <w:r>
        <w:t xml:space="preserve">. The next ten largest nouns are poetry, discourse, fiction, art, autobiography, painting, film, romance, folklore, and history. Ranked within that series would be several adjectives as well: popular, science (fiction), historical, and literary. Only on</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3"/>
      </w:pPr>
      <w:bookmarkStart w:id="38" w:name="disciplines"/>
      <w:r>
        <w:t xml:space="preserve">Disciplines</w:t>
      </w:r>
      <w:bookmarkEnd w:id="38"/>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If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Heading2"/>
      </w:pPr>
      <w:bookmarkStart w:id="39" w:name="method"/>
      <w:r>
        <w:t xml:space="preserve">Method</w:t>
      </w:r>
      <w:bookmarkEnd w:id="39"/>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 function of disciplinary genres to render atypical draws from the archive irrelevant. Disciplinary subfields, genres, are credentialed by secret sets of references, and most comers are held at the door. This in and of itself can be subersive of even more arbitrary club rules, namely those of educational pedigree, such that anyone willing to invest in a presentation of the genre definition will be granted access to the venues, if not the invisible colleges, of the subfield. To be admitted to the arena is no gaurantee of achievement within it, but it is a start. Nevertheless, the scale of the archive will always supply entropy enough to create a deterrent of flotsam and jetsam around subfields composed of projects and persons who either never cracked the code or who willfully eschewed it.</w:t>
      </w:r>
    </w:p>
    <w:p>
      <w:pPr>
        <w:pStyle w:val="Heading3"/>
      </w:pPr>
      <w:bookmarkStart w:id="40" w:name="distant-sampling"/>
      <w:r>
        <w:t xml:space="preserve">Distant sampling</w:t>
      </w:r>
      <w:bookmarkEnd w:id="40"/>
    </w:p>
    <w:p>
      <w:pPr>
        <w:pStyle w:val="FirstParagraph"/>
      </w:pPr>
      <w:r>
        <w:t xml:space="preserve">The research strategy here attempts to parry the entropic tendency of the archive by substituting human for machine limits. The time honored methodological premise of a meta-analysis of genre is that the Gordian knot of the global cultural complexity of the archive can be cut by stratified sampling. I use a large digital archive of texts, JSTOR, to represent the whole of the academic archive. Though clearly a toy representing only a fraction of all networked scholarly produce, JSTOR is large enough to easily surpass individual cognition and compel the equivalent types of complexity reduction facing any researcher approaching the real archive via their local university library portal.</w:t>
      </w:r>
    </w:p>
    <w:p>
      <w:pPr>
        <w:pStyle w:val="BodyText"/>
      </w:pPr>
      <w:r>
        <w:t xml:space="preserve">I use a simple term search of the keyword</w:t>
      </w:r>
      <w:r>
        <w:t xml:space="preserve"> </w:t>
      </w:r>
      <w:r>
        <w:t xml:space="preserve">“</w:t>
      </w:r>
      <w:r>
        <w:t xml:space="preserve">genre</w:t>
      </w:r>
      <w:r>
        <w:t xml:space="preserve">”</w:t>
      </w:r>
      <w:r>
        <w:t xml:space="preserve"> </w:t>
      </w:r>
      <w:r>
        <w:t xml:space="preserve">to define half of a sampling frame.</w:t>
      </w:r>
      <w:r>
        <w:rPr>
          <w:rStyle w:val="FootnoteReference"/>
        </w:rPr>
        <w:footnoteReference w:id="41"/>
      </w:r>
      <w:r>
        <w:t xml:space="preserve"> </w:t>
      </w:r>
      <w:r>
        <w:t xml:space="preserve">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42" w:name="arms-length-reading"/>
      <w:r>
        <w:t xml:space="preserve">Arms-length reading</w:t>
      </w:r>
      <w:bookmarkEnd w:id="42"/>
    </w:p>
    <w:p>
      <w:pPr>
        <w:pStyle w:val="FirstParagraph"/>
      </w:pPr>
      <w:r>
        <w:t xml:space="preserve">The radical (and often maligned) distant reading approach taken by digital humanists is being taken up with gusto by social scientists who are less skeptical of quantitative methods. Following Nelson</w:t>
      </w:r>
      <w:r>
        <w:t xml:space="preserve"> </w:t>
      </w:r>
      <w:r>
        <w:t xml:space="preserve">(</w:t>
      </w:r>
      <w:hyperlink w:anchor="ref-Nelson2017Computational">
        <w:r>
          <w:rPr>
            <w:rStyle w:val="Hyperlink"/>
          </w:rPr>
          <w:t xml:space="preserve">2017</w:t>
        </w:r>
      </w:hyperlink>
      <w:r>
        <w:t xml:space="preserve">)</w:t>
      </w:r>
      <w:r>
        <w:t xml:space="preserve"> </w:t>
      </w:r>
      <w:r>
        <w:t xml:space="preserve">I employ a quantitative analysis of texts not to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43"/>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If on the contrary no two snowflakes are alike, then the enterprise of knowing more than we have before is fraught, and CTA becomes yet another arbitrary reducer.</w:t>
      </w:r>
    </w:p>
    <w:p>
      <w:pPr>
        <w:pStyle w:val="BodyText"/>
      </w:pPr>
      <w:r>
        <w:t xml:space="preserve">What’s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than it answers about the potential to learn truer versions of intellectual history.</w:t>
      </w:r>
    </w:p>
    <w:p>
      <w:pPr>
        <w:pStyle w:val="Heading3"/>
      </w:pPr>
      <w:bookmarkStart w:id="44" w:name="topic-models"/>
      <w:r>
        <w:t xml:space="preserve">Topic Models</w:t>
      </w:r>
      <w:bookmarkEnd w:id="44"/>
    </w:p>
    <w:p>
      <w:pPr>
        <w:pStyle w:val="FirstParagraph"/>
      </w:pPr>
      <w:r>
        <w:t xml:space="preserve">We have referred generically to computational text analysis, and now we can discuss the topic model as our technique of choice. There are many ways of estimating a topic model (e.g. the famous Latent Dirichlet Allocation or LDA estimator) but the model itself is simple. It is a latent variable model that decomposes a document-by-term matrix–in which every document is represented as a frequency distribution over every term appearing in the corpus–into two unobserved matrices:</w:t>
      </w:r>
    </w:p>
    <w:p>
      <w:pPr>
        <w:pStyle w:val="Compact"/>
        <w:numPr>
          <w:numId w:val="1002"/>
          <w:ilvl w:val="0"/>
        </w:numPr>
      </w:pPr>
      <w:r>
        <w:t xml:space="preserve">a topic-by-term matrix, and</w:t>
      </w:r>
    </w:p>
    <w:p>
      <w:pPr>
        <w:pStyle w:val="Compact"/>
        <w:numPr>
          <w:numId w:val="1002"/>
          <w:ilvl w:val="0"/>
        </w:numPr>
      </w:pPr>
      <w:r>
        <w:t xml:space="preserve">a document-by-topic matrix.</w:t>
      </w:r>
    </w:p>
    <w:p>
      <w:pPr>
        <w:pStyle w:val="FirstParagraph"/>
      </w:pPr>
      <w:r>
        <w:t xml:space="preserve">Topics are directly represented by they topic-by-term matrix. A topic is a probability distribution over a vocabulary. To draw on a topic means to choose vocabulary as a random draw from this distribution, where words with higher probabilities will be chosen more often. In the case of genres we might imagine a topic about film and a topic about music. Some words may be important (highly probable), to both topics, such as the word</w:t>
      </w:r>
      <w:r>
        <w:t xml:space="preserve"> </w:t>
      </w:r>
      <w:r>
        <w:t xml:space="preserve">“</w:t>
      </w:r>
      <w:r>
        <w:t xml:space="preserve">genre</w:t>
      </w:r>
      <w:r>
        <w:t xml:space="preserve">”</w:t>
      </w:r>
      <w:r>
        <w:t xml:space="preserve">, while others would be distinct, such as the words</w:t>
      </w:r>
      <w:r>
        <w:t xml:space="preserve"> </w:t>
      </w:r>
      <w:r>
        <w:t xml:space="preserve">“</w:t>
      </w:r>
      <w:r>
        <w:t xml:space="preserve">movie</w:t>
      </w:r>
      <w:r>
        <w:t xml:space="preserve">”</w:t>
      </w:r>
      <w:r>
        <w:t xml:space="preserve"> </w:t>
      </w:r>
      <w:r>
        <w:t xml:space="preserve">(probable for film but improbable for music) and</w:t>
      </w:r>
      <w:r>
        <w:t xml:space="preserve"> </w:t>
      </w:r>
      <w:r>
        <w:t xml:space="preserve">“</w:t>
      </w:r>
      <w:r>
        <w:t xml:space="preserve">band</w:t>
      </w:r>
      <w:r>
        <w:t xml:space="preserve">”</w:t>
      </w:r>
      <w:r>
        <w:t xml:space="preserve"> </w:t>
      </w:r>
      <w:r>
        <w:t xml:space="preserve">(vice versa).</w:t>
      </w:r>
    </w:p>
    <w:p>
      <w:pPr>
        <w:pStyle w:val="BodyText"/>
      </w:pPr>
      <w:r>
        <w:t xml:space="preserve">Given topics as term distributions, a document can be represented not as a distribution over terms, but as a distribution over topics. The topic mediates the relationship between documents and terms. In order to generate diction for a document, all that need be understood is the ratio of topics out of which it is composed. This is sometimes explained as a generative mechanism; to ask what word will be chosen next in composing a document, one first samples from the document’s own topic distribution to decide which topic the word will be drawn from, and given that topic, one then samples from the topic’s word distribution to decide which word will be included in the document. A document’s topic probabilities also create the expectation of how many words are attributed to eac topic. A document with topic probabilities .7 from music and .3 from film would be 70 percent about music and 30 percent about film, making for a parsimonious albeit reductive description of document content.</w:t>
      </w:r>
    </w:p>
    <w:p>
      <w:pPr>
        <w:pStyle w:val="BodyText"/>
      </w:pPr>
      <w:r>
        <w:t xml:space="preserve">It is important not to overinterpret a topic model. Topic models are sometimes called</w:t>
      </w:r>
      <w:r>
        <w:t xml:space="preserve"> </w:t>
      </w:r>
      <w:r>
        <w:t xml:space="preserve">“</w:t>
      </w:r>
      <w:r>
        <w:t xml:space="preserve">generative</w:t>
      </w:r>
      <w:r>
        <w:t xml:space="preserve">”</w:t>
      </w:r>
      <w:r>
        <w:t xml:space="preserve"> </w:t>
      </w:r>
      <w:r>
        <w:t xml:space="preserve">as if they explained how documents are written. Such a generative metaphor reveals the absurdity of a topic model as a representation of writing. Not to mention the fact that punctuation tends not to be represented (though it could be), the terms chosen would be in a random order incapable of making meaningful sentences. Hence it is best to avoid the generative metaphor as an explanation of texts. If topic models touch on the generation of real, meaningful documents, it is only a very limited sense. What the topic model really represents is how vocabularies are organized to condition an author’s diction. A vocabulary can be thought of as an infrastructure of meaning more trivial than grammar or syntax. A topic is a simple list of words that is known or knowable across all authors in a field. Topics do not tell stories; authors tell stories in part by making diction choices that are conditioned by topics.</w:t>
      </w:r>
    </w:p>
    <w:p>
      <w:pPr>
        <w:pStyle w:val="BodyText"/>
      </w:pPr>
      <w:r>
        <w:t xml:space="preserve">From a sense or meaning making perspective topics are trivial; this is because so little is known about what an author says by knowing the topic or even the term distribution of a document. What topics are useful for, however, is the type of segmentation or cartography of a corpus. Topics are really a global feature, perhaps a cultural feature, of a corpus of texts that is itself meaningfully selected. If indeed a field of texts is oriented to common if not always overlapping vocabularies, then topics can represent this well.</w:t>
      </w:r>
    </w:p>
    <w:p>
      <w:pPr>
        <w:pStyle w:val="BodyText"/>
      </w:pPr>
      <w:r>
        <w:t xml:space="preserve">A topic model could be posited based on the domain knowledge of an expert, and this would be a form of estimation. The practical value of statistical topic modeling is that the unobserved topics can be induced, with a raft of assumptions, directly from the observed document-by-term matrix to arrive at a model with the features just described. An estimated topic model will contain several other parameters filling in assumptions necessary to make it possible to identify the unobservable topic probabilities in each of the two matrices of the model. For instance, the parameter commonly called alpha makes an assumption about how many topics tend to comprise each document. s</w:t>
      </w:r>
    </w:p>
    <w:p>
      <w:pPr>
        <w:pStyle w:val="BodyText"/>
      </w:pPr>
      <w:r>
        <w:t xml:space="preserve">(DiMaggio, Nag, and Blei</w:t>
      </w:r>
      <w:r>
        <w:t xml:space="preserve"> </w:t>
      </w:r>
      <w:hyperlink w:anchor="ref-DiMaggio2013Exploiting">
        <w:r>
          <w:rPr>
            <w:rStyle w:val="Hyperlink"/>
          </w:rPr>
          <w:t xml:space="preserve">2013</w:t>
        </w:r>
      </w:hyperlink>
      <w:r>
        <w:t xml:space="preserve">)</w:t>
      </w:r>
    </w:p>
    <w:p>
      <w:pPr>
        <w:pStyle w:val="Heading2"/>
      </w:pPr>
      <w:bookmarkStart w:id="45" w:name="data"/>
      <w:r>
        <w:t xml:space="preserve">Data</w:t>
      </w:r>
      <w:bookmarkEnd w:id="45"/>
    </w:p>
    <w:p>
      <w:pPr>
        <w:pStyle w:val="FirstParagraph"/>
      </w:pPr>
      <w:r>
        <w:t xml:space="preserve">We will use the JSTOR Data for Research service to download a bag-of-words text corpus for topic modeling. I take the following steps to develop a corpus:</w:t>
      </w:r>
    </w:p>
    <w:p>
      <w:pPr>
        <w:pStyle w:val="Compact"/>
        <w:numPr>
          <w:numId w:val="1003"/>
          <w:ilvl w:val="0"/>
        </w:numPr>
      </w:pPr>
      <w:r>
        <w:t xml:space="preserve">Search dfr.jstor.org using the query</w:t>
      </w:r>
      <w:r>
        <w:t xml:space="preserve"> </w:t>
      </w:r>
      <w:r>
        <w:rPr>
          <w:rStyle w:val="VerbatimChar"/>
        </w:rPr>
        <w:t xml:space="preserve">(ta:genr* OR ab:genr*) AND la:eng</w:t>
      </w:r>
      <w:r>
        <w:t xml:space="preserve"> </w:t>
      </w:r>
      <w:r>
        <w:t xml:space="preserve">and requesting 1grams.</w:t>
      </w:r>
    </w:p>
    <w:p>
      <w:pPr>
        <w:pStyle w:val="Compact"/>
        <w:numPr>
          <w:numId w:val="1003"/>
          <w:ilvl w:val="0"/>
        </w:numPr>
      </w:pPr>
      <w:r>
        <w:t xml:space="preserve">To cull documents for which genre is not an important term, exclude documents containing fewer than five variants of the term genre (1grams matching the regular expression</w:t>
      </w:r>
      <w:r>
        <w:t xml:space="preserve"> </w:t>
      </w:r>
      <w:r>
        <w:rPr>
          <w:rStyle w:val="VerbatimChar"/>
        </w:rPr>
        <w:t xml:space="preserve">^genr</w:t>
      </w:r>
      <w:r>
        <w:t xml:space="preserve">: genre, genred, and genres).</w:t>
      </w:r>
    </w:p>
    <w:p>
      <w:pPr>
        <w:pStyle w:val="Compact"/>
        <w:numPr>
          <w:numId w:val="1003"/>
          <w:ilvl w:val="0"/>
        </w:numPr>
      </w:pPr>
      <w:r>
        <w:t xml:space="preserve">Remove ngrams appearing fewer than three times, which often includes optical character recognition errors.</w:t>
      </w:r>
    </w:p>
    <w:p>
      <w:pPr>
        <w:pStyle w:val="Compact"/>
        <w:numPr>
          <w:numId w:val="1003"/>
          <w:ilvl w:val="0"/>
        </w:numPr>
      </w:pPr>
      <w:r>
        <w:t xml:space="preserve">Remove ngrams shorter than three characters and longer than 25 characters, again often OCR errors but also stopwords that will be removed anyway.</w:t>
      </w:r>
      <w:r>
        <w:rPr>
          <w:rStyle w:val="FootnoteReference"/>
        </w:rPr>
        <w:footnoteReference w:id="46"/>
      </w:r>
    </w:p>
    <w:p>
      <w:pPr>
        <w:pStyle w:val="Compact"/>
        <w:numPr>
          <w:numId w:val="1003"/>
          <w:ilvl w:val="0"/>
        </w:numPr>
      </w:pPr>
      <w:r>
        <w:t xml:space="preserve">Remove ngrams longer than three characters that are all the same letter, often OCR errors but sometimes real, as in Roman numerals.</w:t>
      </w:r>
    </w:p>
    <w:p>
      <w:pPr>
        <w:pStyle w:val="Compact"/>
        <w:numPr>
          <w:numId w:val="1003"/>
          <w:ilvl w:val="0"/>
        </w:numPr>
      </w:pPr>
      <w:r>
        <w:t xml:space="preserve">Compile baseline word counts for each document assuming that at this step the documents contain only valid terms, and no OCR errors.</w:t>
      </w:r>
    </w:p>
    <w:p>
      <w:pPr>
        <w:pStyle w:val="Compact"/>
        <w:numPr>
          <w:numId w:val="1003"/>
          <w:ilvl w:val="0"/>
        </w:numPr>
      </w:pPr>
      <w:r>
        <w:t xml:space="preserve">Remove SMART stopwords.</w:t>
      </w:r>
    </w:p>
    <w:p>
      <w:pPr>
        <w:pStyle w:val="Compact"/>
        <w:numPr>
          <w:numId w:val="1003"/>
          <w:ilvl w:val="0"/>
        </w:numPr>
      </w:pPr>
      <w:r>
        <w:t xml:space="preserve">Remove numbers.</w:t>
      </w:r>
    </w:p>
    <w:p>
      <w:pPr>
        <w:pStyle w:val="Compact"/>
        <w:numPr>
          <w:numId w:val="1003"/>
          <w:ilvl w:val="0"/>
        </w:numPr>
      </w:pPr>
      <w:r>
        <w:t xml:space="preserve">Remove punctuation, except intraword hyphens.</w:t>
      </w:r>
    </w:p>
    <w:p>
      <w:pPr>
        <w:pStyle w:val="Compact"/>
        <w:numPr>
          <w:numId w:val="1003"/>
          <w:ilvl w:val="0"/>
        </w:numPr>
      </w:pPr>
      <w:r>
        <w:t xml:space="preserve">Lemmatize or stem English words.</w:t>
      </w:r>
    </w:p>
    <w:p>
      <w:pPr>
        <w:pStyle w:val="Compact"/>
        <w:numPr>
          <w:numId w:val="1003"/>
          <w:ilvl w:val="0"/>
        </w:numPr>
      </w:pPr>
      <w:r>
        <w:t xml:space="preserve">Remove lemma with fewer than three characters.</w:t>
      </w:r>
    </w:p>
    <w:p>
      <w:pPr>
        <w:pStyle w:val="Compact"/>
        <w:numPr>
          <w:numId w:val="1003"/>
          <w:ilvl w:val="0"/>
        </w:numPr>
      </w:pPr>
      <w:r>
        <w:t xml:space="preserve">Aggregate 1grams defined by a single lemma and, for ease of interpretation, name the sum after the most common 1gram.</w:t>
      </w:r>
    </w:p>
    <w:p>
      <w:pPr>
        <w:pStyle w:val="Compact"/>
        <w:numPr>
          <w:numId w:val="1003"/>
          <w:ilvl w:val="0"/>
        </w:numPr>
      </w:pPr>
      <w:r>
        <w:t xml:space="preserve">Remove terms appearing in fewer than 20 documents.</w:t>
      </w:r>
    </w:p>
    <w:p>
      <w:pPr>
        <w:pStyle w:val="Compact"/>
        <w:numPr>
          <w:numId w:val="1003"/>
          <w:ilvl w:val="0"/>
        </w:numPr>
      </w:pPr>
      <w:r>
        <w:t xml:space="preserve">Remove documents that, after the above filters, have a word count of fewer than 500 words.</w:t>
      </w:r>
    </w:p>
    <w:p>
      <w:pPr>
        <w:pStyle w:val="FirstParagraph"/>
      </w:pPr>
      <w:r>
        <w:t xml:space="preserve">The initial query returned 7,695 articles from 1,205 different journals, as well as 6,485 book chapters from 4,427 books. After the above processing steps, the sample was reduced to 3,545 articles and 2,799 chapters, or 6,344 total texts.</w:t>
      </w:r>
    </w:p>
    <w:p>
      <w:pPr>
        <w:pStyle w:val="BodyText"/>
      </w:pPr>
      <w:r>
        <w:t xml:space="preserve">It is fair to ask what is lost during the pre-processing of texts. Many are included in error due to JSTOR’s internal translation of abstracts; where</w:t>
      </w:r>
      <w:r>
        <w:t xml:space="preserve"> </w:t>
      </w:r>
      <w:r>
        <w:t xml:space="preserve">“</w:t>
      </w:r>
      <w:r>
        <w:t xml:space="preserve">genre</w:t>
      </w:r>
      <w:r>
        <w:t xml:space="preserve">”</w:t>
      </w:r>
      <w:r>
        <w:t xml:space="preserve"> </w:t>
      </w:r>
      <w:r>
        <w:t xml:space="preserve">is the French translation of the English</w:t>
      </w:r>
      <w:r>
        <w:t xml:space="preserve"> </w:t>
      </w:r>
      <w:r>
        <w:t xml:space="preserve">“</w:t>
      </w:r>
      <w:r>
        <w:t xml:space="preserve">kind</w:t>
      </w:r>
      <w:r>
        <w:t xml:space="preserve">”</w:t>
      </w:r>
      <w:r>
        <w:t xml:space="preserve"> </w:t>
      </w:r>
      <w:r>
        <w:t xml:space="preserve">the text will be included even if the term genre does not actually appear in the English title or abstract.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or the proportion of terms in a document eliminated during pre-processing. I call it idiosyncracy because the pre-processing condition was that terms would be eliminated if they did not appear in at least 20 other texts. Texts that lost a large volume of words to this filter are drawing on a vocabulary that almost no other texts use. It would not be surprising if these were ethnographic or content analytic studies of non English materials.</w:t>
      </w:r>
    </w:p>
    <w:p>
      <w:pPr>
        <w:pStyle w:val="BodyText"/>
      </w:pPr>
      <w:r>
        <w:t xml:space="preserve">Figure</w:t>
      </w:r>
      <w:r>
        <w:t xml:space="preserve"> </w:t>
      </w:r>
      <w:r>
        <w:t xml:space="preserve">5</w:t>
      </w:r>
      <w:r>
        <w:t xml:space="preserve"> </w:t>
      </w:r>
      <w:r>
        <w:t xml:space="preserve">shows the right-skewed distribution of idiosyncracy. The median text lost about one tenth (10.16 percent) of its words, while 90 percent of texts are within two tenths, and outliers begin at about three tenths as can be seen in the boxplot. The 150 (2.36 percent of) texts above three tenths vary across a range as wide as the rest of the distribution. The most idiosyncratic text, at 60.4 percent of its vocabulary lost, is Pelli’s</w:t>
      </w:r>
      <w:r>
        <w:t xml:space="preserve"> </w:t>
      </w:r>
      <w:r>
        <w:t xml:space="preserve">“</w:t>
      </w:r>
      <w:r>
        <w:t xml:space="preserve">The Revival of the Literary Genre of Religious Disputation in Hebrew Haskalah: Isaac Satanow’s</w:t>
      </w:r>
      <w:r>
        <w:t xml:space="preserve"> </w:t>
      </w:r>
      <w:r>
        <w:rPr>
          <w:i/>
        </w:rPr>
        <w:t xml:space="preserve">Divrei Rivot</w:t>
      </w:r>
      <w:r>
        <w:t xml:space="preserve">.</w:t>
      </w:r>
      <w:r>
        <w:t xml:space="preserve">”</w:t>
      </w:r>
      <w:r>
        <w:rPr>
          <w:rStyle w:val="FootnoteReference"/>
        </w:rPr>
        <w:footnoteReference w:id="47"/>
      </w:r>
      <w:r>
        <w:t xml:space="preserve"> </w:t>
      </w:r>
      <w:r>
        <w:t xml:space="preserve">The article, from the journal</w:t>
      </w:r>
      <w:r>
        <w:t xml:space="preserve"> </w:t>
      </w:r>
      <w:r>
        <w:rPr>
          <w:i/>
        </w:rPr>
        <w:t xml:space="preserve">Hebrew Studies</w:t>
      </w:r>
      <w:r>
        <w:t xml:space="preserve">, is a single page introduction in English to a 12 page essay reprinted in the original Hebrew. By page count alone we would expect the idiosycrasy to be 12/13 or 92.3 percent, which also illustrates how terms that are not in the Roman alphabet may be discarded as OCR errors even prior to the idiosyncracy measurement.</w:t>
      </w:r>
    </w:p>
    <w:p>
      <w:pPr>
        <w:pStyle w:val="CaptionedFigure"/>
      </w:pPr>
      <w:r>
        <w:drawing>
          <wp:inline>
            <wp:extent cx="4620126" cy="3696101"/>
            <wp:effectExtent b="0" l="0" r="0" t="0"/>
            <wp:docPr descr="Figure 5 Distribution of idiosyncracy, the proportion of document vocabularly dropped during pre-processing. Pluses indicate outliers." title="" id="1" name="Picture"/>
            <a:graphic>
              <a:graphicData uri="http://schemas.openxmlformats.org/drawingml/2006/picture">
                <pic:pic>
                  <pic:nvPicPr>
                    <pic:cNvPr descr="ambrose_dissertation_files/figure-docx/idi-hist-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idiosyncracy, the proportion of document vocabularly dropped during pre-processing. Pluses indicate outliers.</w:t>
      </w:r>
    </w:p>
    <w:p>
      <w:pPr>
        <w:pStyle w:val="BodyText"/>
      </w:pPr>
      <w:r>
        <w:t xml:space="preserve">Figure</w:t>
      </w:r>
      <w:r>
        <w:t xml:space="preserve"> </w:t>
      </w:r>
      <w:r>
        <w:t xml:space="preserve">6</w:t>
      </w:r>
      <w:r>
        <w:t xml:space="preserve"> </w:t>
      </w:r>
      <w:r>
        <w:t xml:space="preserve">shows the logarithm of the count of the term genre as a proportion of the total term count of a text. This distribution is much more highly skewed but contains fewer outliers. In the median text a genre variant accounted for about 6 in 1,000 terms, while at the 90 percentile the rate is 27 in 1,000. 46 texts (0.73 percent) are outliers where one in ten or more words is a genre variant. The text with the largest genre proportion, at 35.7 percent of its words, is Welsh’s</w:t>
      </w:r>
      <w:r>
        <w:t xml:space="preserve"> </w:t>
      </w:r>
      <w:r>
        <w:t xml:space="preserve">“</w:t>
      </w:r>
      <w:r>
        <w:t xml:space="preserve">Editorial: The Genre Revival</w:t>
      </w:r>
      <w:r>
        <w:t xml:space="preserve">”</w:t>
      </w:r>
      <w:r>
        <w:rPr>
          <w:rStyle w:val="FootnoteReference"/>
        </w:rPr>
        <w:footnoteReference w:id="49"/>
      </w:r>
      <w:r>
        <w:t xml:space="preserve"> </w:t>
      </w:r>
      <w:r>
        <w:t xml:space="preserve">is a single page introduction in a special issue of</w:t>
      </w:r>
      <w:r>
        <w:t xml:space="preserve"> </w:t>
      </w:r>
      <w:r>
        <w:rPr>
          <w:i/>
        </w:rPr>
        <w:t xml:space="preserve">Literature/Film Quarterly</w:t>
      </w:r>
      <w:r>
        <w:t xml:space="preserve"> </w:t>
      </w:r>
      <w:r>
        <w:t xml:space="preserve">on genres.</w:t>
      </w:r>
    </w:p>
    <w:p>
      <w:pPr>
        <w:pStyle w:val="CaptionedFigure"/>
      </w:pPr>
      <w:r>
        <w:drawing>
          <wp:inline>
            <wp:extent cx="4620126" cy="3696101"/>
            <wp:effectExtent b="0" l="0" r="0" t="0"/>
            <wp:docPr descr="Figure 6 Distribution of log_{10} of the count of the term “genre” as a proportion of all terms in a text. Pluses indicate outliers." title="" id="1" name="Picture"/>
            <a:graphic>
              <a:graphicData uri="http://schemas.openxmlformats.org/drawingml/2006/picture">
                <pic:pic>
                  <pic:nvPicPr>
                    <pic:cNvPr descr="ambrose_dissertation_files/figure-docx/gp-hist-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Distribution of</w:t>
      </w:r>
      <w:r>
        <w:t xml:space="preserve"> </w:t>
      </w:r>
      <m:oMath>
        <m:r>
          <m:t>l</m:t>
        </m:r>
        <m:r>
          <m:t>o</m:t>
        </m:r>
        <m:sSub>
          <m:e>
            <m:r>
              <m:t>g</m:t>
            </m:r>
          </m:e>
          <m:sub>
            <m:r>
              <m:t>10</m:t>
            </m:r>
          </m:sub>
        </m:sSub>
      </m:oMath>
      <w:r>
        <w:t xml:space="preserve"> </w:t>
      </w:r>
      <w:r>
        <w:t xml:space="preserve">of the count of the term</w:t>
      </w:r>
      <w:r>
        <w:t xml:space="preserve"> </w:t>
      </w:r>
      <w:r>
        <w:t xml:space="preserve">“</w:t>
      </w:r>
      <w:r>
        <w:t xml:space="preserve">genre</w:t>
      </w:r>
      <w:r>
        <w:t xml:space="preserve">”</w:t>
      </w:r>
      <w:r>
        <w:t xml:space="preserve"> </w:t>
      </w:r>
      <w:r>
        <w:t xml:space="preserve">as a proportion of all terms in a text. Pluses indicate outliers.</w:t>
      </w:r>
    </w:p>
    <w:p>
      <w:pPr>
        <w:pStyle w:val="Heading2"/>
      </w:pPr>
      <w:bookmarkStart w:id="51" w:name="sankey"/>
      <w:r>
        <w:t xml:space="preserve">sankey</w:t>
      </w:r>
      <w:bookmarkEnd w:id="51"/>
    </w:p>
    <w:p>
      <w:pPr>
        <w:pStyle w:val="FirstParagraph"/>
      </w:pPr>
      <w:r>
        <w:t xml:space="preserve">Topic models require the analyst to choose the number of topics</w:t>
      </w:r>
      <w:r>
        <w:t xml:space="preserve"> </w:t>
      </w:r>
      <m:oMath>
        <m:r>
          <m:t>K</m:t>
        </m:r>
      </m:oMath>
      <w:r>
        <w:t xml:space="preserve">. The approach we take to guiding this decision is not to expect one correct specification of K but rather to see it as a changing resolution. A K=2 model usefully bifurcates the sample and is not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Categorical Expectation Maximization is known to</w:t>
      </w:r>
    </w:p>
    <w:p>
      <w:pPr>
        <w:pStyle w:val="Heading2"/>
      </w:pPr>
      <w:bookmarkStart w:id="52" w:name="top-x-doc"/>
      <w:r>
        <w:t xml:space="preserve">top x doc</w:t>
      </w:r>
      <w:bookmarkEnd w:id="52"/>
    </w:p>
    <w:p>
      <w:pPr>
        <w:pStyle w:val="CaptionedFigure"/>
      </w:pPr>
      <w:r>
        <w:drawing>
          <wp:inline>
            <wp:extent cx="5334000" cy="4267200"/>
            <wp:effectExtent b="0" l="0" r="0" t="0"/>
            <wp:docPr descr="Figure 7 Sankey diagram of document overlap between topic models of increasing values of K." title="" id="1" name="Picture"/>
            <a:graphic>
              <a:graphicData uri="http://schemas.openxmlformats.org/drawingml/2006/picture">
                <pic:pic>
                  <pic:nvPicPr>
                    <pic:cNvPr descr="ambrose_dissertation_files/figure-docx/unnamed-chunk-9-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Sankey diagram of document overlap between topic models of increasing values of K.</w:t>
      </w:r>
    </w:p>
    <w:p>
      <w:pPr>
        <w:pStyle w:val="Heading1"/>
      </w:pPr>
      <w:bookmarkStart w:id="54" w:name="gen"/>
      <w:r>
        <w:t xml:space="preserve">Social Science Genres Today</w:t>
      </w:r>
      <w:bookmarkEnd w:id="54"/>
    </w:p>
    <w:p>
      <w:pPr>
        <w:pStyle w:val="Heading4"/>
      </w:pPr>
      <w:bookmarkStart w:id="55" w:name="abstract-1"/>
      <w:r>
        <w:t xml:space="preserve">Abstract</w:t>
      </w:r>
      <w:bookmarkEnd w:id="55"/>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Heading4"/>
      </w:pPr>
      <w:bookmarkStart w:id="56" w:name="keywords-1"/>
      <w:r>
        <w:t xml:space="preserve">Keywords</w:t>
      </w:r>
      <w:bookmarkEnd w:id="56"/>
    </w:p>
    <w:p>
      <w:pPr>
        <w:pStyle w:val="FirstParagraph"/>
      </w:pPr>
      <w:r>
        <w:t xml:space="preserve">genre, social science, knowledge mapping, labeling, cognition</w:t>
      </w:r>
    </w:p>
    <w:p>
      <w:pPr>
        <w:pStyle w:val="Heading2"/>
      </w:pPr>
      <w:bookmarkStart w:id="57" w:name="introduction"/>
      <w:r>
        <w:t xml:space="preserve">Introduction</w:t>
      </w:r>
      <w:bookmarkEnd w:id="57"/>
    </w:p>
    <w:p>
      <w:pPr>
        <w:pStyle w:val="BlockText"/>
      </w:pPr>
      <w:r>
        <w:t xml:space="preserve">The science that everybody is…called upon to possess hardly deserves that name. It is not science; or at the very most it is the most common and general part of it. It is indeed limited to a few indispensable elements of knowledge which are only required of everyone because they are within everyone’s grasp. Science proper soars infinitely beyond this vulgar level. It includes not only what one would blush at not knowing, but all that it is possible to know. It presumes among those who are its adepts not only those average faculties possessed by all men, but special aptitudes. In consequence, since it is accessible only to an elite, it is not obligatory. Although something fine and useful, it is not so utterly indispensable that society categorically requires it. There is advantage in being equipped with it, but nothing immoral about not acquiring it. It is a field of activity open to everyone on their own initiative, but one which no one is compelled to enter. One is no more required to be a scientist than an artist.</w:t>
      </w:r>
      <w:r>
        <w:t xml:space="preserve"> </w:t>
      </w:r>
      <w:r>
        <w:t xml:space="preserve">(Durkheim</w:t>
      </w:r>
      <w:r>
        <w:t xml:space="preserve"> </w:t>
      </w:r>
      <w:hyperlink w:anchor="ref-Durkheim1893division">
        <w:r>
          <w:rPr>
            <w:rStyle w:val="Hyperlink"/>
          </w:rPr>
          <w:t xml:space="preserve">1893</w:t>
        </w:r>
      </w:hyperlink>
      <w:r>
        <w:t xml:space="preserve">:43)</w:t>
      </w:r>
    </w:p>
    <w:p>
      <w:pPr>
        <w:pStyle w:val="FirstParagraph"/>
      </w:pPr>
      <w:r>
        <w:t xml:space="preserve">Genre is a both a phenomenon and an analytical approach, indeed, several analytical approaches. I critique a contemporary use of multimodal network analysis to study genre as measured in cultural object network data. I argue that standard rational choice approaches in the sociology of culture, the theory of consumer preferences or tastes, does not pass a prima facie test of validity as an accurate representation of the global properties of so-called cultural networks. The same data that are used to demonstrate taste theory better support an alternative knowledge based approach to culture.</w:t>
      </w:r>
    </w:p>
    <w:p>
      <w:pPr>
        <w:pStyle w:val="Heading3"/>
      </w:pPr>
      <w:bookmarkStart w:id="58" w:name="taste"/>
      <w:r>
        <w:t xml:space="preserve">Taste</w:t>
      </w:r>
      <w:bookmarkEnd w:id="58"/>
    </w:p>
    <w:p>
      <w:pPr>
        <w:pStyle w:val="FirstParagraph"/>
      </w:pPr>
      <w:r>
        <w:t xml:space="preserve">Lizardo operationalizes genre preference data in network terms by</w:t>
      </w:r>
      <w:r>
        <w:t xml:space="preserve"> </w:t>
      </w:r>
      <w:r>
        <w:t xml:space="preserve">“</w:t>
      </w:r>
      <w:r>
        <w:t xml:space="preserve">inducing a network of persons connected to the cultural genres they choose</w:t>
      </w:r>
      <w:r>
        <w:t xml:space="preserve">”</w:t>
      </w:r>
      <w:r>
        <w:t xml:space="preserve"> </w:t>
      </w:r>
      <w:r>
        <w:t xml:space="preserve">(</w:t>
      </w:r>
      <w:hyperlink w:anchor="ref-Lizardo2018mutual">
        <w:r>
          <w:rPr>
            <w:rStyle w:val="Hyperlink"/>
          </w:rPr>
          <w:t xml:space="preserve">2018</w:t>
        </w:r>
      </w:hyperlink>
      <w:r>
        <w:t xml:space="preserve">:53)</w:t>
      </w:r>
      <w:r>
        <w:t xml:space="preserve">. This allows him to analyze individual preferences within a global context represented in bimodal network patterns. Multimodal networks, of which a bimodal network is the simplest type, are an analytical convention wherein at least two classes of items bear relations and in which a rule is imposed that such items may only be related to items of a different class. Insofar as the researcher cares about intraclass relationships she must understand them as mediated by one of the alternative classes.</w:t>
      </w:r>
    </w:p>
    <w:p>
      <w:pPr>
        <w:pStyle w:val="BodyText"/>
      </w:pPr>
      <w:r>
        <w:t xml:space="preserve">This multimodal metric convention aligns with cultural capital theories of culture which treat the consumption of cultural objects as transactions out of knowledge relationships and into status ones. In a knowledge relationship cultural logics obtain, usually a principle of rightness like truth, beauty, or morality. Social relationships, on the other hand, are governed by different rules, e.g. those of commitments like love and enmity or loyalty and rivalry. The meaning of a cultural object is given by the interactions established around it, which are themselves conditioned by role expectations</w:t>
      </w:r>
      <w:r>
        <w:t xml:space="preserve"> </w:t>
      </w:r>
      <w:r>
        <w:t xml:space="preserve">(DiMaggio</w:t>
      </w:r>
      <w:r>
        <w:t xml:space="preserve"> </w:t>
      </w:r>
      <w:hyperlink w:anchor="ref-DiMaggio1987Classification">
        <w:r>
          <w:rPr>
            <w:rStyle w:val="Hyperlink"/>
          </w:rPr>
          <w:t xml:space="preserve">1987</w:t>
        </w:r>
      </w:hyperlink>
      <w:r>
        <w:t xml:space="preserve">:445)</w:t>
      </w:r>
      <w:r>
        <w:t xml:space="preserve">. Cultural capital then is the type of relationship process where an actor tries to exchange knowledge for status as the basis for a relationship or at least to motivate a particular role interaction.</w:t>
      </w:r>
    </w:p>
    <w:p>
      <w:pPr>
        <w:pStyle w:val="BodyText"/>
      </w:pPr>
      <w:r>
        <w:t xml:space="preserve">This treatment of cultural capital differs from more strictly Bourdieusian approaches. Serino et al</w:t>
      </w:r>
      <w:r>
        <w:t xml:space="preserve"> </w:t>
      </w:r>
      <w:r>
        <w:t xml:space="preserve">(</w:t>
      </w:r>
      <w:hyperlink w:anchor="ref-Serino2017Bridging">
        <w:r>
          <w:rPr>
            <w:rStyle w:val="Hyperlink"/>
          </w:rPr>
          <w:t xml:space="preserve">2017</w:t>
        </w:r>
      </w:hyperlink>
      <w:r>
        <w:t xml:space="preserve">)</w:t>
      </w:r>
      <w:r>
        <w:t xml:space="preserve"> </w:t>
      </w:r>
      <w:r>
        <w:t xml:space="preserve">do it differently.</w:t>
      </w:r>
    </w:p>
    <w:p>
      <w:pPr>
        <w:pStyle w:val="BodyText"/>
      </w:pPr>
      <w:r>
        <w:t xml:space="preserve">The simplest multimodal network has two classes (see</w:t>
      </w:r>
      <w:r>
        <w:t xml:space="preserve"> </w:t>
      </w:r>
      <w:r>
        <w:t xml:space="preserve">(Shi, Foster, and Evans</w:t>
      </w:r>
      <w:r>
        <w:t xml:space="preserve"> </w:t>
      </w:r>
      <w:hyperlink w:anchor="ref-Shi2015Weaving">
        <w:r>
          <w:rPr>
            <w:rStyle w:val="Hyperlink"/>
          </w:rPr>
          <w:t xml:space="preserve">2015</w:t>
        </w:r>
      </w:hyperlink>
      <w:r>
        <w:t xml:space="preserve">)</w:t>
      </w:r>
      <w:r>
        <w:t xml:space="preserve"> </w:t>
      </w:r>
      <w:r>
        <w:t xml:space="preserve">for examples of many more).</w:t>
      </w:r>
    </w:p>
    <w:p>
      <w:pPr>
        <w:pStyle w:val="BodyText"/>
      </w:pPr>
      <w:r>
        <w:t xml:space="preserve">culture as a disembodied abstraction</w:t>
      </w:r>
      <w:r>
        <w:t xml:space="preserve"> </w:t>
      </w:r>
      <w:r>
        <w:t xml:space="preserve">(Lizardo</w:t>
      </w:r>
      <w:r>
        <w:t xml:space="preserve"> </w:t>
      </w:r>
      <w:hyperlink w:anchor="ref-Lizardo2018mutual">
        <w:r>
          <w:rPr>
            <w:rStyle w:val="Hyperlink"/>
          </w:rPr>
          <w:t xml:space="preserve">2018</w:t>
        </w:r>
      </w:hyperlink>
      <w:r>
        <w:t xml:space="preserve">)</w:t>
      </w:r>
    </w:p>
    <w:p>
      <w:pPr>
        <w:pStyle w:val="BlockText"/>
        <w:pStyle w:val="BlockText"/>
      </w:pPr>
      <w:r>
        <w:t xml:space="preserve">Genre classifications socialize the infrastructure costs of artistic production.</w:t>
      </w:r>
      <w:r>
        <w:t xml:space="preserve"> </w:t>
      </w:r>
      <w:r>
        <w:t xml:space="preserve">(DiMaggio</w:t>
      </w:r>
      <w:r>
        <w:t xml:space="preserve"> </w:t>
      </w:r>
      <w:hyperlink w:anchor="ref-DiMaggio1987Classification">
        <w:r>
          <w:rPr>
            <w:rStyle w:val="Hyperlink"/>
          </w:rPr>
          <w:t xml:space="preserve">1987</w:t>
        </w:r>
      </w:hyperlink>
      <w:r>
        <w:t xml:space="preserve">:445)</w:t>
      </w:r>
    </w:p>
    <w:p>
      <w:pPr>
        <w:pStyle w:val="Heading3"/>
      </w:pPr>
      <w:bookmarkStart w:id="59" w:name="structuralist"/>
      <w:r>
        <w:t xml:space="preserve">Structuralist</w:t>
      </w:r>
      <w:bookmarkEnd w:id="59"/>
    </w:p>
    <w:p>
      <w:pPr>
        <w:pStyle w:val="FirstParagraph"/>
      </w:pPr>
      <w:r>
        <w:t xml:space="preserve">Genres are a feature of two kinds of cultural surplus. First, genres are not necessary if knowledge is limited to a small number of lessons, stories, ideas, or skills. Such a cultural corpus is naturally held as</w:t>
      </w:r>
      <w:r>
        <w:t xml:space="preserve"> </w:t>
      </w:r>
      <w:r>
        <w:t xml:space="preserve">“</w:t>
      </w:r>
      <w:r>
        <w:t xml:space="preserve">the</w:t>
      </w:r>
      <w:r>
        <w:t xml:space="preserve">”</w:t>
      </w:r>
      <w:r>
        <w:t xml:space="preserve"> </w:t>
      </w:r>
      <w:r>
        <w:t xml:space="preserve">obligatory culture, and because knowers do not experience options they do not face the problem that genres solve. When such a unary culture expands beyond the mental or technological limits of memory, or when it is faced with alien knowledge sources, a proto genre is functionally necessary that allows for a binary classification between sense and nonsense.</w:t>
      </w:r>
    </w:p>
    <w:p>
      <w:pPr>
        <w:pStyle w:val="BodyText"/>
      </w:pPr>
      <w:r>
        <w:t xml:space="preserve">Such a proto genre allows two things. Alien material becomes obvious, perhaps dangerous, but not confusing as it can be safely cordoned off from what is real knowledge. Second and perhaps more interestingly, a proto genre precipitates cultural expansion by allowing some stories (ideas, skills, products) to be told differently. Such novelty maintains interest without exciting alienation. In those acts of deciding what makes sense (inclusion) and what is nonsense (exclusion) the rules of the genre begin to form.</w:t>
      </w:r>
    </w:p>
    <w:p>
      <w:pPr>
        <w:pStyle w:val="BodyText"/>
      </w:pPr>
      <w:r>
        <w:t xml:space="preserve">When genres become multiple they cease to be about sense and nonsense and begin to be about relevance and irrelevance. They allow local action with a globalized culture by reducing local cultural complexity to a manageable level, and what is more important, they make normative and binding the particular pattern of exclusion. The genre classification of particular cultural objects must be done correctly or they will invite more or less predictable social backlash. In this way</w:t>
      </w:r>
      <w:r>
        <w:t xml:space="preserve"> </w:t>
      </w:r>
      <w:r>
        <w:t xml:space="preserve">“</w:t>
      </w:r>
      <w:r>
        <w:t xml:space="preserve">personal genre</w:t>
      </w:r>
      <w:r>
        <w:t xml:space="preserve">”</w:t>
      </w:r>
      <w:r>
        <w:t xml:space="preserve"> </w:t>
      </w:r>
      <w:r>
        <w:t xml:space="preserve">must be understood to be an oxymoron; a person may have tastes, her own rules of repulsion and attraction, but to the extent that these tastes abrogate genre conventions a person has difficult decisions to make about how she will field the forms of social regulations, and perhaps rewards, that she will incur in expressing those tastes.</w:t>
      </w:r>
    </w:p>
    <w:p>
      <w:pPr>
        <w:pStyle w:val="BodyText"/>
      </w:pPr>
      <w:r>
        <w:t xml:space="preserve">This is not to say that socialized tastes, tastes that conform to genre convention, do not incure regulation and reward. Indeed we will see that one function of multigenre systems is to allow cultural industries to minimize exclusion and maximize conversions. In this sense the developmental model with which we began has a circular logic of scale; as genre systems grow and differentiate in the vain attempt to index the wild cultural content they hope to classify, industrial action lights upon this natural tendency and works to domesticate it. In working to exclude nothing, purveyors of culture demonstrate themselves to be tastelessly willing to hock something to anyone.</w:t>
      </w:r>
    </w:p>
    <w:p>
      <w:pPr>
        <w:pStyle w:val="BodyText"/>
      </w:pPr>
      <w:r>
        <w:t xml:space="preserve">This simple structuralism is a functional understanding of genres, which though not a sensible analytical approach in contemporary sociology, forms the spine of the argument to follow. The effect of genres that we wish to focus on is their exclusion potential.</w:t>
      </w:r>
    </w:p>
    <w:p>
      <w:pPr>
        <w:pStyle w:val="Heading2"/>
      </w:pPr>
      <w:bookmarkStart w:id="60" w:name="culture"/>
      <w:r>
        <w:t xml:space="preserve">Culture</w:t>
      </w:r>
      <w:bookmarkEnd w:id="60"/>
    </w:p>
    <w:p>
      <w:pPr>
        <w:pStyle w:val="FirstParagraph"/>
      </w:pPr>
      <w:r>
        <w:t xml:space="preserve">Bodies of knowledge and practice, cultures, exist because of yet apart from particular people. While some cultures are ubiquitous and inculcated in all members of the societies in which they are substantiated, others are esoteric and marked by significant barriers to learning them. Such esoteric cultures are as inaccessible as they are unnecessary. A child who does not learn what to eat and how to eat it in her local culture will have great difficulty doing anything else in her society. Food culture is of the ubiquitous type and is not difficult to learn. On the other hand, a child who does not master scripture will be ashamed at temple, but shame is bearable in a way that hunger is not. Scripture is of the esoteric type; knowledge of it enables special abilities and grants access to restricted aspects of a society, but ignorance of it does not threaten one’s lay livelihood. Even in religiously totalitarian societies, what religous knowledge is necessary will be ubiquitous. What religious knowledge is esoteric can be safely left to the clergy. It is not too narrowly circular to say that the knowledge that informs daily life is the easiest to aqcuire, and that the mere act of living also reproduces that knowledge within contexts that are themselves ubiquitous. Whether relationships of ubiquity are familial, economic, or state relations varies by society, but no society lacks ubiquitous culture and the means of reproducing it.</w:t>
      </w:r>
    </w:p>
    <w:p>
      <w:pPr>
        <w:pStyle w:val="BodyText"/>
      </w:pPr>
      <w:r>
        <w:t xml:space="preserve">Esoteric cultures, then, are removed from ubiquitous ones though they depend on them. They require specialized social relationships for their reproduction in populations. These special relationships may be called fields of cultural production (FCP). FCPs are both reproductive of extant knowledge and productive of novel knowledge relevant usually only to the field itself. To the extent that esoteric cultures are complicated or otherwise have high entropy, the failure to reproduce their cultural content is always an existential threat. While it is a gaurantee that cultural content is constantly actually lost to reproduction failures, cultures that nonetheless persist historically must always have a socially structured FCP that, in inculcating new members and reinforcing the knowledge of extant members, resists the entropic decay that would otherwise lead to extinction.</w:t>
      </w:r>
    </w:p>
    <w:p>
      <w:pPr>
        <w:pStyle w:val="BodyText"/>
      </w:pPr>
      <w:r>
        <w:t xml:space="preserve">The scope of a culture has a knowledge and a social dimension. Units of knowledge are both discrete and combinatoric. Discretely, the size of a culture can be measured by a count of co-occuring ideas and skills. The utility of knowledge, for instance as instantiated in an FCP, often depends on the combination and interaction of such discrete elements. The mass of knowledge in a culture is related to the count of units and to the ease with which those units can be learned, thought, or deployed in meaningful activity. Some cultures are easier than others, and it is the effort-adjusted size that is the real mass of the ideational content of a culture.</w:t>
      </w:r>
    </w:p>
    <w:p>
      <w:pPr>
        <w:pStyle w:val="BodyText"/>
      </w:pPr>
      <w:r>
        <w:t xml:space="preserve">Not all sociologically relevant information is cultural. In the triadic relationship among culture, social structure, and personality, psychological concepts like schemata that are sometimes treated as constitutive of social structure do not belong in the category of culture. Schemata allow personalities to organize their responses to a world that includes many things beyond culture. In order for cultures and social structures to function stably in time, they depend on the successful operation of schema, but they do not necessarily provision these schema. An only partial exception is the limiting and very specialized cases of pedagogical institutions. A culture can only exist if people can reproduce it, but the people must solve the psychological problems of cognition on their own. Whereas culture is fungible in its different mediated forms, there is no reason to believe that a</w:t>
      </w:r>
      <w:r>
        <w:t xml:space="preserve"> </w:t>
      </w:r>
      <w:r>
        <w:t xml:space="preserve">“</w:t>
      </w:r>
      <w:r>
        <w:t xml:space="preserve">single schema</w:t>
      </w:r>
      <w:r>
        <w:t xml:space="preserve">”</w:t>
      </w:r>
      <w:r>
        <w:t xml:space="preserve"> </w:t>
      </w:r>
      <w:r>
        <w:t xml:space="preserve">occurs across a population of people. There are no one-size-fits-all solutions to human motivation, and schema will to a large extent be idiosyncratic, adapted as they must be to the particular circumstances in which people as träger find themselves.</w:t>
      </w:r>
    </w:p>
    <w:p>
      <w:pPr>
        <w:pStyle w:val="BodyText"/>
      </w:pPr>
      <w:r>
        <w:t xml:space="preserve">What cultures can do to hedge their bets against the instability of personalities is to introduce kinds of knowledge adapted to cognitive problems. Schutz identifies systems of relevance from the side of personalities, and here we understand the same from the side of cultures.</w:t>
      </w:r>
    </w:p>
    <w:p>
      <w:pPr>
        <w:pStyle w:val="BodyText"/>
      </w:pPr>
      <w:r>
        <w:t xml:space="preserve">People know culture and it does not appear apart from them. Put differently, culture is information and people are the media that concretely manifest it. The size of a culture is the count of the unique ideas and idea combinations appearing in a deduplicated media catalog, excluding possible but unrealized combinations. The potential of a culture is the size of the realized and unrealized combinations, where the number of elements in a set is limited by a given historical cognitive and technological memory capacity. The potential of a real culture is always greater than its size, as combination novelty always easily exceeds the available media.</w:t>
      </w:r>
    </w:p>
    <w:p>
      <w:pPr>
        <w:pStyle w:val="BodyText"/>
      </w:pPr>
      <w:r>
        <w:t xml:space="preserve">The social mass of the culture is the enumeration of the media in which cultural content actually appears historically. The cultural mass is copied piecemeal among a population of knowers. The mass may be enlarged by information technology by making it easier to access and transmit culture, but the artifacts and technology themselves do not count in the mass of the culture. Real, historical human nervous systems, including language expression,</w:t>
      </w:r>
    </w:p>
    <w:p>
      <w:pPr>
        <w:pStyle w:val="BodyText"/>
      </w:pPr>
      <w:r>
        <w:t xml:space="preserve">Dead cultures cannot live again because the dead part, the social part, is highly ephemeral. Even if a culture leaves material and symbolic artifacts, the</w:t>
      </w:r>
      <w:r>
        <w:t xml:space="preserve"> </w:t>
      </w:r>
      <w:r>
        <w:t xml:space="preserve">“</w:t>
      </w:r>
      <w:r>
        <w:t xml:space="preserve">dead</w:t>
      </w:r>
      <w:r>
        <w:t xml:space="preserve">”</w:t>
      </w:r>
      <w:r>
        <w:t xml:space="preserve"> </w:t>
      </w:r>
      <w:r>
        <w:t xml:space="preserve">parts are precisely those human relationships that would socialize new members in particular ways that cannot be deduced by people who never belonged to begin with, namely the archeologists of the future. Such archeologists belong to the FCP of their own time, and approach the historical artifacts of a dead culture as any other FCP approaches regular patterns in the world, as subject to their own particular cultural logics.</w:t>
      </w:r>
    </w:p>
    <w:p>
      <w:pPr>
        <w:pStyle w:val="BodyText"/>
      </w:pPr>
      <w:r>
        <w:t xml:space="preserve">Reproduction does not necessarily imply long term consistency of cultural content, indeed a high level of knowledge loss may be a sign of historical stability in an esoteric culture if it results from a highly productive FCP. An oversupply of cultural content increases the chances that some, any culture can be conveyed into the future in a chain of descent.</w:t>
      </w:r>
    </w:p>
    <w:p>
      <w:pPr>
        <w:pStyle w:val="BodyText"/>
      </w:pPr>
      <w:r>
        <w:t xml:space="preserve">Esoteric knowledge is essentially cryptic, ubiquituous knowledge essentially evident. Crypticism means that layity cannot acquire knowledge on their own, that is, without socially structured access to an FCP. Esotericism is the social consequence of crypticism. Cultures vary by knowledge features, as knowledge is a social axis of power along which status hierarchy necessarily develops. Knowledge asymmetry structures social relationships, usually leading to status inequality.</w:t>
      </w:r>
    </w:p>
    <w:p>
      <w:pPr>
        <w:pStyle w:val="BodyText"/>
      </w:pPr>
      <w:r>
        <w:t xml:space="preserve">High entropy cultures must socialize new and maintain existing members like any culture, but their complications also tend to be generative of novelty.</w:t>
      </w:r>
    </w:p>
    <w:p>
      <w:pPr>
        <w:pStyle w:val="BodyText"/>
      </w:pPr>
      <w:r>
        <w:t xml:space="preserve">The ubiquitous cultures will be learned because there is nothing in a society to do without knowing them, while esoteric ones are gauranteed to be forgotten by most, swapped easily for the always ready ubiquitous alternatives. Ubiquitous cultures have high ambient findability</w:t>
      </w:r>
      <w:r>
        <w:t xml:space="preserve"> </w:t>
      </w:r>
      <w:r>
        <w:t xml:space="preserve">(Morville</w:t>
      </w:r>
      <w:r>
        <w:t xml:space="preserve"> </w:t>
      </w:r>
      <w:hyperlink w:anchor="ref-Morville2009Ambient">
        <w:r>
          <w:rPr>
            <w:rStyle w:val="Hyperlink"/>
          </w:rPr>
          <w:t xml:space="preserve">2009</w:t>
        </w:r>
      </w:hyperlink>
      <w:r>
        <w:t xml:space="preserve">)</w:t>
      </w:r>
      <w:r>
        <w:t xml:space="preserve">, they can be transparently acquired for instance through mimicry</w:t>
      </w:r>
      <w:r>
        <w:t xml:space="preserve"> </w:t>
      </w:r>
      <w:r>
        <w:t xml:space="preserve">(DiMaggio and Powell</w:t>
      </w:r>
      <w:r>
        <w:t xml:space="preserve"> </w:t>
      </w:r>
      <w:hyperlink w:anchor="ref-DiMaggio1983Iron">
        <w:r>
          <w:rPr>
            <w:rStyle w:val="Hyperlink"/>
          </w:rPr>
          <w:t xml:space="preserve">1983</w:t>
        </w:r>
      </w:hyperlink>
      <w:r>
        <w:t xml:space="preserve">)</w:t>
      </w:r>
      <w:r>
        <w:t xml:space="preserve">.</w:t>
      </w:r>
    </w:p>
    <w:p>
      <w:pPr>
        <w:pStyle w:val="BodyText"/>
      </w:pPr>
      <w:r>
        <w:t xml:space="preserve">FCPs are social structures that can be thought of as the articulation points between people and a special type of culture that we associate with higher education.</w:t>
      </w:r>
    </w:p>
    <w:p>
      <w:pPr>
        <w:pStyle w:val="BodyText"/>
      </w:pPr>
      <w:r>
        <w:t xml:space="preserve">To be sure, if esoteric cultures are marked by asymmetries of knowledge between laity and clergy, to continue with the religious example, we must admit that such asymetries exist in ubiquitous culture as well, as in the supposed ignorance of a child against the learning of an adult. The ignorance of children combined with their megalomania is a useful example of how social structures operate. Social structures are always culturally conservative; a child’s ignorance is a generative force, as they may attempt to solve problems in novel ways, and their efforts will frequently be corrected by the experts. Whether the correction takes marks the chagrin of the parent. Children quickly become specialists in their own FCPs, but this is never because they aren’t also aware of the ubiquity. They may know it, it may bore them, and they efface it for fun. But they know what is ubiquitous; their proximity to ignorance of it may animate their creative abrogation of culture. The essentially conservative function of pedagogy will stamp out that creative flame in time. Indeed children are a great source of entropy for ubiquitous culture, hence the large investment in education generally.</w:t>
      </w:r>
    </w:p>
    <w:p>
      <w:pPr>
        <w:pStyle w:val="BodyText"/>
      </w:pPr>
      <w:r>
        <w:t xml:space="preserve">This evolutionary argument can be more simply stated as, complicated cultures cannot exist for very long without stewardship.</w:t>
      </w:r>
    </w:p>
    <w:p>
      <w:pPr>
        <w:pStyle w:val="Heading2"/>
      </w:pPr>
      <w:bookmarkStart w:id="61" w:name="Xe6e2354489a4d0f8ece1c96b929cc740021d175"/>
      <w:r>
        <w:t xml:space="preserve">Genre, Profession, and Cultural Morphodynamics</w:t>
      </w:r>
      <w:bookmarkEnd w:id="61"/>
    </w:p>
    <w:p>
      <w:pPr>
        <w:pStyle w:val="FirstParagraph"/>
      </w:pPr>
      <w:r>
        <w:t xml:space="preserve">Genre in sociology has been treated from literary, economic, and historical vantages.</w:t>
      </w:r>
    </w:p>
    <w:p>
      <w:pPr>
        <w:pStyle w:val="BodyText"/>
      </w:pPr>
      <w:r>
        <w:t xml:space="preserve">Economic sociology has treated genre as an integrating feature of markets, expressed simultaneously by both supply side and demand side actors</w:t>
      </w:r>
      <w:r>
        <w:t xml:space="preserve"> </w:t>
      </w:r>
      <w:r>
        <w:t xml:space="preserve">(DiMaggio</w:t>
      </w:r>
      <w:r>
        <w:t xml:space="preserve"> </w:t>
      </w:r>
      <w:hyperlink w:anchor="ref-DiMaggio1987Classification">
        <w:r>
          <w:rPr>
            <w:rStyle w:val="Hyperlink"/>
          </w:rPr>
          <w:t xml:space="preserve">1987</w:t>
        </w:r>
      </w:hyperlink>
      <w:r>
        <w:t xml:space="preserve">:441)</w:t>
      </w:r>
      <w:r>
        <w:t xml:space="preserve">. DiMaggio posits an oversocialized conception of artistic classification systems that sets genre as a matching between consumers on one hand and production, including producers and distributors, on the other. Consumption of art is essentially transacted for social goods, that is, is a form of cultural capital. Because cultural products are objects of ritual satisfaction among consumers, social relations are limited to intra-economic categories. This is the same as saying that social boundaries mark cultural boundaries. The meaning of cultural products to producers is very different than to consumers, there is no cultural logic that transcends social boundaries, that is, there is no</w:t>
      </w:r>
      <w:r>
        <w:t xml:space="preserve"> </w:t>
      </w:r>
      <w:r>
        <w:t xml:space="preserve">“</w:t>
      </w:r>
      <w:r>
        <w:t xml:space="preserve">cultural totality</w:t>
      </w:r>
      <w:r>
        <w:t xml:space="preserve">”</w:t>
      </w:r>
      <w:r>
        <w:t xml:space="preserve"> </w:t>
      </w:r>
      <w:r>
        <w:t xml:space="preserve">even at restricted scales.</w:t>
      </w:r>
    </w:p>
    <w:p>
      <w:pPr>
        <w:pStyle w:val="BodyText"/>
      </w:pPr>
      <w:r>
        <w:t xml:space="preserve">Whether this is an accurate depcitions of the arts, it is not adequate for direct adaption to the analysis of scholarly disciplines. The missing variable is the pedagogical nature of social relationships. In pedagogical relations assymetries of cultural understanding are built in to the role structure of social relationships.</w:t>
      </w:r>
    </w:p>
    <w:p>
      <w:pPr>
        <w:pStyle w:val="BodyText"/>
      </w:pPr>
      <w:r>
        <w:t xml:space="preserve">The professional relates to a client.</w:t>
      </w:r>
      <w:r>
        <w:t xml:space="preserve"> </w:t>
      </w:r>
      <w:r>
        <w:t xml:space="preserve">The administrator relates to a subject.</w:t>
      </w:r>
      <w:r>
        <w:t xml:space="preserve"> </w:t>
      </w:r>
      <w:r>
        <w:t xml:space="preserve">The purveyor relates to a customer.</w:t>
      </w:r>
    </w:p>
    <w:p>
      <w:pPr>
        <w:pStyle w:val="BodyText"/>
      </w:pPr>
      <w:r>
        <w:t xml:space="preserve">This may be an accurate</w:t>
      </w:r>
    </w:p>
    <w:p>
      <w:pPr>
        <w:pStyle w:val="BodyText"/>
      </w:pPr>
      <w:r>
        <w:t xml:space="preserve">DiMaggio discusses three organizational forms–commercial, professional, and administrative–as explaining gen</w:t>
      </w:r>
    </w:p>
    <w:p>
      <w:pPr>
        <w:pStyle w:val="Heading3"/>
      </w:pPr>
      <w:bookmarkStart w:id="62" w:name="generic-vs-typical"/>
      <w:r>
        <w:t xml:space="preserve">Generic vs Typical</w:t>
      </w:r>
      <w:bookmarkEnd w:id="62"/>
    </w:p>
    <w:p>
      <w:pPr>
        <w:pStyle w:val="FirstParagraph"/>
      </w:pPr>
      <w:r>
        <w:t xml:space="preserve">Following Schutz all cognition is process that begins by matching knowledge to experience via an intial process of typification. Empirical objects are categorized according to types, and our knowledge is also indexed according to those types. We know what to do once we have typed an object and matched it to type organized knowledge.</w:t>
      </w:r>
    </w:p>
    <w:p>
      <w:pPr>
        <w:pStyle w:val="BodyText"/>
      </w:pPr>
      <w:r>
        <w:t xml:space="preserve">Genres</w:t>
      </w:r>
    </w:p>
    <w:p>
      <w:pPr>
        <w:pStyle w:val="BodyText"/>
      </w:pPr>
      <w:r>
        <w:t xml:space="preserve">In non market societies, FCPs are financed by state patronage. Here esoteric cultures that have no need of a laity will be invisible to most of the members of the society, and their knowledge will be naturally excludable. Market societies organize</w:t>
      </w:r>
    </w:p>
    <w:p>
      <w:pPr>
        <w:pStyle w:val="BodyText"/>
      </w:pPr>
      <w:r>
        <w:t xml:space="preserve">Schutz (</w:t>
      </w:r>
      <w:hyperlink w:anchor="ref-Schutz1970Reflections">
        <w:r>
          <w:rPr>
            <w:rStyle w:val="Hyperlink"/>
          </w:rPr>
          <w:t xml:space="preserve">1970</w:t>
        </w:r>
      </w:hyperlink>
      <w:r>
        <w:t xml:space="preserve">)</w:t>
      </w:r>
    </w:p>
    <w:p>
      <w:pPr>
        <w:pStyle w:val="BodyText"/>
      </w:pPr>
      <w:r>
        <w:t xml:space="preserve">Beer</w:t>
      </w:r>
      <w:r>
        <w:t xml:space="preserve"> </w:t>
      </w:r>
      <w:r>
        <w:t xml:space="preserve">(</w:t>
      </w:r>
      <w:hyperlink w:anchor="ref-Beer2013Genre">
        <w:r>
          <w:rPr>
            <w:rStyle w:val="Hyperlink"/>
          </w:rPr>
          <w:t xml:space="preserve">2013</w:t>
        </w:r>
      </w:hyperlink>
      <w:r>
        <w:t xml:space="preserve">)</w:t>
      </w:r>
      <w:r>
        <w:t xml:space="preserve"> </w:t>
      </w:r>
      <w:r>
        <w:t xml:space="preserve">posits genre as a form of Foucaultian classification where a formal</w:t>
      </w:r>
      <w:r>
        <w:t xml:space="preserve"> </w:t>
      </w:r>
      <w:r>
        <w:t xml:space="preserve">“</w:t>
      </w:r>
      <w:r>
        <w:t xml:space="preserve">grid</w:t>
      </w:r>
      <w:r>
        <w:t xml:space="preserve">”</w:t>
      </w:r>
      <w:r>
        <w:t xml:space="preserve"> </w:t>
      </w:r>
      <w:r>
        <w:t xml:space="preserve">of knowledge structures observations while inviting subversive criticism. Missing in the use of Foucault is a sense of historical transition between types of knowledge. Scientific knowledge passed through stages limited by new concepts of order. The grid or classification logic was replaced by causal logic in a process spanning generations.</w:t>
      </w:r>
      <w:r>
        <w:t xml:space="preserve"> </w:t>
      </w:r>
      <w:r>
        <w:t xml:space="preserve">(Foucault</w:t>
      </w:r>
      <w:r>
        <w:t xml:space="preserve"> </w:t>
      </w:r>
      <w:hyperlink w:anchor="ref-Foucault2002order">
        <w:r>
          <w:rPr>
            <w:rStyle w:val="Hyperlink"/>
          </w:rPr>
          <w:t xml:space="preserve">2002</w:t>
        </w:r>
      </w:hyperlink>
      <w:r>
        <w:t xml:space="preserve">:150)</w:t>
      </w:r>
      <w:r>
        <w:t xml:space="preserve"> </w:t>
      </w:r>
      <w:r>
        <w:t xml:space="preserve">Reading Foucault as a developmental theory means that a classification logic provides the knowledge necessary to envision a causal logic. In this sense, a reified and possibly stitled genre classification system is generative of a more nuanced causal logic in that it provides an anchor and set of easily workable tacit arguments; sociology is different from anthroplogy because of a deployed catalogical schema. Beer however puts formal and informal genre systems into an ahistorical relation; formal genres are not generative of causal explanations of genre, but rather they are power structures against which interested actors struggle to either support or efface.</w:t>
      </w:r>
    </w:p>
    <w:p>
      <w:pPr>
        <w:pStyle w:val="BodyText"/>
      </w:pPr>
      <w:r>
        <w:t xml:space="preserve">Foucaultian genre requires a method of description, and the components of the method describe or order observations of the thing. Genres do not work this way except in a post-hoc way, as the recent controversy over the single Country Road illustrates. Genres in this sense actually work as a pre-classification Classical system, as pure language in which knowledge is knitted together by merely tracking down uses of the term. Genres amount to anyone’s use of the genres as terms. Genre criticsm operates in this mode; genres are leverged to inflrate deflate the reputation of particular social alters. Far from describing the characteristics of the music, genre as a term encompasses how the genres are used, such as in their influence on scene formations and fashion. These are primitive forms of knowledge if Foucault’s account of science is taken developmentally.</w:t>
      </w:r>
    </w:p>
    <w:p>
      <w:pPr>
        <w:pStyle w:val="BodyText"/>
      </w:pPr>
      <w:r>
        <w:t xml:space="preserve">Marxian structural development classically contends that stages of history cannot be skipped. Some theorists partially relax this model with a version of structural memory wherein a society that has undergone a transition into a particular stage of development, the resources genreating the relationsihps of the previous stages are already available. This is why development is slow first, but when the process has been played it may be replayed at much greater speed, and it may be played out of order. What is normally mapped to a process of time may in an advanced stage be mapped to different dimensions. The one we will be concered with is a status dimension. The classical form of knowledge, wherein it is stiched together piecemeal by focus on the language, the use of the term, leaving little coherence to the threads so collected, is simple and available always. The more structure classificaiton according to a rule-based grid is more advanced. Rather than being available only in time, after it’s invention, it may be aviaalbe as an asymmetry of training or socializaiton. Grid-knowledge may be utilized among the clerics and not available to the laity. At the core of the clerics, the elite of the esoterics, the most complicated stage of causal reasoning, is available to even fewer people. Boulding, in his own genre scheme, called the same the distinction between frameworks and clockworks</w:t>
      </w:r>
      <w:r>
        <w:t xml:space="preserve"> </w:t>
      </w:r>
      <w:r>
        <w:t xml:space="preserve">(Boulding</w:t>
      </w:r>
      <w:r>
        <w:t xml:space="preserve"> </w:t>
      </w:r>
      <w:hyperlink w:anchor="ref-Boulding1956General">
        <w:r>
          <w:rPr>
            <w:rStyle w:val="Hyperlink"/>
          </w:rPr>
          <w:t xml:space="preserve">1956</w:t>
        </w:r>
      </w:hyperlink>
      <w:r>
        <w:t xml:space="preserve">:202)</w:t>
      </w:r>
      <w:r>
        <w:t xml:space="preserve">.</w:t>
      </w:r>
    </w:p>
    <w:p>
      <w:pPr>
        <w:pStyle w:val="BodyText"/>
      </w:pPr>
      <w:r>
        <w:t xml:space="preserve">What this view allows us to ask is, for Beer’s emphasis on the critical use of genre categories, does it matter that the laity flirt with classical kinds of knowledge. Does it, as Beer suggests, work to reform the genre categories? Or on the other hand, to the institutions of formal categorization easily ignore such debates, or do they rather have aggreagtion systems of their own to handle</w:t>
      </w:r>
      <w:r>
        <w:t xml:space="preserve"> </w:t>
      </w:r>
      <w:r>
        <w:t xml:space="preserve">“</w:t>
      </w:r>
      <w:r>
        <w:t xml:space="preserve">deomcratic</w:t>
      </w:r>
      <w:r>
        <w:t xml:space="preserve">”</w:t>
      </w:r>
      <w:r>
        <w:t xml:space="preserve"> </w:t>
      </w:r>
      <w:r>
        <w:t xml:space="preserve">or market research processes like genre term searches?</w:t>
      </w:r>
    </w:p>
    <w:p>
      <w:pPr>
        <w:pStyle w:val="Heading2"/>
      </w:pPr>
      <w:bookmarkStart w:id="63" w:name="kd-dq1"/>
      <w:r>
        <w:t xml:space="preserve">JSTOR Journals</w:t>
      </w:r>
      <w:bookmarkEnd w:id="63"/>
    </w:p>
    <w:p>
      <w:pPr>
        <w:pStyle w:val="FirstParagraph"/>
      </w:pPr>
      <w:r>
        <w:t xml:space="preserve">Genre classifications are totalizing, as any factor or product in a field of production can be labeled and sorted according to a categorical logic.</w:t>
      </w:r>
    </w:p>
    <w:p>
      <w:pPr>
        <w:pStyle w:val="BodyText"/>
      </w:pPr>
      <w:r>
        <w:t xml:space="preserve">We rely on the JSTOR digital archive which gives access to optical scans of historical journals. JSTOR provides a title list of their journal coverage</w:t>
      </w:r>
      <w:r>
        <w:t xml:space="preserve"> </w:t>
      </w:r>
      <w:r>
        <w:t xml:space="preserve">(JSTOR</w:t>
      </w:r>
      <w:r>
        <w:t xml:space="preserve"> </w:t>
      </w:r>
      <w:hyperlink w:anchor="ref-JSTOR2018Title">
        <w:r>
          <w:rPr>
            <w:rStyle w:val="Hyperlink"/>
          </w:rPr>
          <w:t xml:space="preserve">2018</w:t>
        </w:r>
      </w:hyperlink>
      <w:r>
        <w:t xml:space="preserve">)</w:t>
      </w:r>
      <w:r>
        <w:t xml:space="preserve">. The coverage of journals in the archive is very complete for those journals chosen for the database. As of this writing JSTOR contained 4,224 different journal titles and 2,738 journals from 1,147 different publishers. The different journal counts are due to some journals changing titles at least once.</w:t>
      </w:r>
      <w:r>
        <w:rPr>
          <w:rStyle w:val="FootnoteReference"/>
        </w:rPr>
        <w:footnoteReference w:id="64"/>
      </w:r>
      <w:r>
        <w:t xml:space="preserve"> </w:t>
      </w:r>
      <w:r>
        <w:t xml:space="preserve">The JSTOR coding contains 79 subject labels. These labels refer to eight superdisciplines under which may be found 71 disciplines.</w:t>
      </w:r>
    </w:p>
    <w:p>
      <w:pPr>
        <w:pStyle w:val="BodyText"/>
      </w:pPr>
      <w:r>
        <w:t xml:space="preserve">Most journals are given more than one discipline label, and the superdisciplines are not marked as such in the database creating some redundancy. For instance, a journal labeled as</w:t>
      </w:r>
      <w:r>
        <w:t xml:space="preserve"> </w:t>
      </w:r>
      <w:r>
        <w:t xml:space="preserve">“</w:t>
      </w:r>
      <w:r>
        <w:t xml:space="preserve">Sociology</w:t>
      </w:r>
      <w:r>
        <w:t xml:space="preserve">”</w:t>
      </w:r>
      <w:r>
        <w:t xml:space="preserve"> </w:t>
      </w:r>
      <w:r>
        <w:t xml:space="preserve">will also be labeled as</w:t>
      </w:r>
      <w:r>
        <w:t xml:space="preserve"> </w:t>
      </w:r>
      <w:r>
        <w:t xml:space="preserve">“</w:t>
      </w:r>
      <w:r>
        <w:t xml:space="preserve">Social Sciences</w:t>
      </w:r>
      <w:r>
        <w:t xml:space="preserve">”</w:t>
      </w:r>
      <w:r>
        <w:t xml:space="preserve">. Most academics will be familiar with whether a label is for a superdiscipline or a subdiscipline, yet for outsiders or for skeptical insiders, the only clue is in the frequency with which a label is applied. Counting labels, however, does not unambiguously place a journal in one discipline or another because journals may bear multiple labels, even multiple superdiscipline labels.</w:t>
      </w:r>
    </w:p>
    <w:p>
      <w:pPr>
        <w:pStyle w:val="BodyText"/>
      </w:pPr>
      <w:r>
        <w:t xml:space="preserve">To assess the size of the disciplines and to disentangle their hierarchies it will be helpful to have a mutually exclusive labeling scheme that draws on the JSTOR curators’ judgement while simplifying it.</w:t>
      </w:r>
    </w:p>
    <w:p>
      <w:pPr>
        <w:pStyle w:val="Heading2"/>
      </w:pPr>
      <w:bookmarkStart w:id="65" w:name="network-mode-projection"/>
      <w:r>
        <w:t xml:space="preserve">Network Mode Projection</w:t>
      </w:r>
      <w:bookmarkEnd w:id="65"/>
    </w:p>
    <w:p>
      <w:pPr>
        <w:pStyle w:val="FirstParagraph"/>
      </w:pPr>
      <w:r>
        <w:t xml:space="preserve">I rely on network methods to accomplish this labeling in a data driven and reproducible way. In a network representation of journal discipline labels, two journals may be said to be be related if they carry the same label. In network terms this can be represented as a bipartite or bimodal network. In a bimodal network there are two types (modes) of nodes, a journal and a label, and ties can only be registered between, not within, these modes. So journals are not tied directly to other journals and labels are not tied directly to other labels.</w:t>
      </w:r>
    </w:p>
    <w:p>
      <w:pPr>
        <w:pStyle w:val="BodyText"/>
      </w:pPr>
      <w:r>
        <w:t xml:space="preserve">Given any bimodal network, we may translate or project it into either of two unimodal forms. In a single mode or unimodal projection of a bimodal network there is only one type of node, in my case either a journal or a label, but not both. The omitted type is instead represented as a set of ties among the included type. Though the bimodal network is a more elegant represenation, it is technically necessary to project it into one of its two bimodal forms to leverage network methods that are desinged with unimodal data in mind.</w:t>
      </w:r>
    </w:p>
    <w:p>
      <w:pPr>
        <w:pStyle w:val="BodyText"/>
      </w:pPr>
      <w:r>
        <w:t xml:space="preserve">Using the list of subjects associated with each journal in the JSTOR title list, I construct the bimodal</w:t>
      </w:r>
      <w:r>
        <w:t xml:space="preserve"> </w:t>
      </w:r>
      <w:r>
        <w:rPr>
          <w:i/>
        </w:rPr>
        <w:t xml:space="preserve">journal-label</w:t>
      </w:r>
      <w:r>
        <w:t xml:space="preserve"> </w:t>
      </w:r>
      <w:r>
        <w:t xml:space="preserve">network with journals in the first mode bearing ties to discipline labels in the second mode. I then project the bimodal network into two unimodal networks, one where journals are connected by ties equal to the number of discipline labels they have in common, and another where labels are tied by the number of articles carrying both labels. Call each of these unimodal networks, the (</w:t>
      </w:r>
      <w:r>
        <w:rPr>
          <w:i/>
        </w:rPr>
        <w:t xml:space="preserve">journal-label-journal</w:t>
      </w:r>
      <w:r>
        <w:t xml:space="preserve">) journal network and (</w:t>
      </w:r>
      <w:r>
        <w:rPr>
          <w:i/>
        </w:rPr>
        <w:t xml:space="preserve">label-journal-label</w:t>
      </w:r>
      <w:r>
        <w:t xml:space="preserve">) label network, a facet of the original bimodal network.</w:t>
      </w:r>
    </w:p>
    <w:p>
      <w:pPr>
        <w:pStyle w:val="BodyText"/>
      </w:pPr>
      <w:r>
        <w:t xml:space="preserve">Figure</w:t>
      </w:r>
      <w:r>
        <w:t xml:space="preserve"> </w:t>
      </w:r>
      <w:r>
        <w:t xml:space="preserve">8</w:t>
      </w:r>
      <w:r>
        <w:t xml:space="preserve"> </w:t>
      </w:r>
      <w:r>
        <w:t xml:space="preserve">illustrates the effects of network mode projection on a random sample of 300 edges from the full JSTOR title list network. The first panel illustrates the bimodal network where journals are yellow dots and labels are blue dots. As an artifact of sampling, most journals here are shown tied to only one label. In fact this is never the case in the full network; as each journal has at least one discipline and one superdiscipline label the minimum number of labels is two, which is the median case accounting for 53.9 percent of journals. The most labels any journal bears is 10, but these are outliers with most journals bearing only a few labels.</w:t>
      </w:r>
    </w:p>
    <w:p>
      <w:pPr>
        <w:pStyle w:val="CaptionedFigure"/>
      </w:pPr>
      <w:r>
        <w:drawing>
          <wp:inline>
            <wp:extent cx="5334000" cy="2667000"/>
            <wp:effectExtent b="0" l="0" r="0" t="0"/>
            <wp:docPr descr="Figure 8 Mode Conversion on a 300 Edge Random Sample of the JSTOR Title List Label Network" title="" id="1" name="Picture"/>
            <a:graphic>
              <a:graphicData uri="http://schemas.openxmlformats.org/drawingml/2006/picture">
                <pic:pic>
                  <pic:nvPicPr>
                    <pic:cNvPr descr="ambrose_dissertation_files/figure-docx/mod-proj-1.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8 Mode Conversion on a 300 Edge Random Sample of the JSTOR Title List Label Network</w:t>
      </w:r>
    </w:p>
    <w:p>
      <w:pPr>
        <w:pStyle w:val="BodyText"/>
      </w:pPr>
      <w:r>
        <w:t xml:space="preserve">It is worth noting a few features of the unimodal projections or facets illustrated in the second and third palens. First, unimodal projections will always be made of up of overlapping cliques. Take the journal facet; each journal bearing a particular label will be tied to each other journal with the same label. Together they will form a clique, a subnetwork of maximum density where all possible ties exist. Such cliques grow nearly exponentially, as each additional journal with the same label joins the clique and adds a number of ties equal to the former size of the clique. In practice this means that very common labels like</w:t>
      </w:r>
      <w:r>
        <w:t xml:space="preserve"> </w:t>
      </w:r>
      <w:r>
        <w:t xml:space="preserve">“</w:t>
      </w:r>
      <w:r>
        <w:t xml:space="preserve">Social Sciences</w:t>
      </w:r>
      <w:r>
        <w:t xml:space="preserve">”</w:t>
      </w:r>
      <w:r>
        <w:t xml:space="preserve"> </w:t>
      </w:r>
      <w:r>
        <w:t xml:space="preserve">can easily dominate the unimodal projection of the network. Here the weighting of edges becomes important; if two labels overlap because some nodes bear both labels, then within the intersection of the two cliques the ties may be treated as</w:t>
      </w:r>
      <w:r>
        <w:t xml:space="preserve"> </w:t>
      </w:r>
      <w:r>
        <w:t xml:space="preserve">“</w:t>
      </w:r>
      <w:r>
        <w:t xml:space="preserve">weighing more</w:t>
      </w:r>
      <w:r>
        <w:t xml:space="preserve">”</w:t>
      </w:r>
      <w:r>
        <w:t xml:space="preserve"> </w:t>
      </w:r>
      <w:r>
        <w:t xml:space="preserve">by adding the contribution of each label separately. The exception is if the cliques overlap by only one node, in which case they have a node but no ties in common. Nevertheless using methods that take edge weights into account is a good way to ameliorate the exponential influence of popular labels.</w:t>
      </w:r>
    </w:p>
    <w:p>
      <w:pPr>
        <w:pStyle w:val="BodyText"/>
      </w:pPr>
      <w:r>
        <w:t xml:space="preserve">Second, though the unimodal facets of a bimodal network represent the same data, each may have different characteristics especially in the common case of a large population imbalance between modes. In the full network we have 35 times as many journals as labels and each journal sends multiple ties. This degree imbalance between the two modes may mean that one facet is more dense than its inverse. Density is the proportion of actual ties out of all possible ties. In Figure</w:t>
      </w:r>
      <w:r>
        <w:t xml:space="preserve"> </w:t>
      </w:r>
      <w:r>
        <w:t xml:space="preserve">8</w:t>
      </w:r>
      <w:r>
        <w:t xml:space="preserve"> </w:t>
      </w:r>
      <w:r>
        <w:t xml:space="preserve">an imbalance may be observed where the journal facet has many dense free floating or overlapping cliques and where the label network appears to be mostly made of isolated labels save for the few larger components. In the sampled network the journal facet is five times more dense than the label facet. In the case of our full network, the potential imbalance in degree distribution between facets happens to be offset by the population imbalance itself. The densities in the full journal and label facets are comparable, 26.2 and 27.3 percent respectively, meaning that analysis will not merely hinge on which facet is analyzed.</w:t>
      </w:r>
    </w:p>
    <w:p>
      <w:pPr>
        <w:pStyle w:val="BodyText"/>
      </w:pPr>
      <w:r>
        <w:t xml:space="preserve">Third, unimodal projection has the effect of pruning what are sometimes referred to as pendants, which are simply nodes with only a single tie. . Each of the isolates in the label facet represents a larger or smaller number of journals, which may be observed in the different sizes of the free floating cliques of the journal facet, yet no matter their size they supply no information about interdisciplinarity. Because the journal facet captures both size (of cliques) and relatedness (clique overlap) it is a better representation of the information of the original bimodal network. Its drawback is that it is larger and more unwieldy to analyze. The label facet offers a simpler picture of interdisciplinarity.</w:t>
      </w:r>
    </w:p>
    <w:p>
      <w:pPr>
        <w:pStyle w:val="Heading2"/>
      </w:pPr>
      <w:bookmarkStart w:id="67" w:name="network-community-detection"/>
      <w:r>
        <w:t xml:space="preserve">Network Community Detection</w:t>
      </w:r>
      <w:bookmarkEnd w:id="67"/>
    </w:p>
    <w:p>
      <w:pPr>
        <w:pStyle w:val="FirstParagraph"/>
      </w:pPr>
      <w:r>
        <w:t xml:space="preserve">Each facet described above will help answer a different question about disciplinarity in the JSTOR archive as indicated by JSTOR’s labeling policy. I aim to resolve the uncertainty about which labels count as superdisciplines and to reveal patterns of sorting not apparent in the labels themselves. The rationale for doing this is to observe not the choices of JSTOR coders, but the tacit judgement they likely used in applying labels. I expect that the 79 fine grained labels bely a simpler classification scheme of academic genres.</w:t>
      </w:r>
    </w:p>
    <w:p>
      <w:pPr>
        <w:pStyle w:val="BodyText"/>
      </w:pPr>
      <w:r>
        <w:t xml:space="preserve">I will use two techniques, community detection and graph visualization, to answer these questions. Communities are really subnetworks of high density, or clusters. I operationalize disciplinarity as the presence of clusters within the journal facet network. Community detection on the journal facet will answer how many superdisciplines there are and the size of each in terms of the number of journals belonging to it. Visualization of the label facet will show how hard or soft are the boundaries between disciplines and where the strongest interdisciplinary relationships lay.</w:t>
      </w:r>
    </w:p>
    <w:p>
      <w:pPr>
        <w:pStyle w:val="BodyText"/>
      </w:pPr>
      <w:r>
        <w:t xml:space="preserve">First, I use community detection to partition the JSTOR journals into mutually exclusive disciplines. Community detection is a set of network methods designed to expose clusters by grouping nodes together such that they send more ties to members of their own group than they send to members of different groups. There is a cottage industry around developing algorithms and statistical models to learn an unobserved community structure of a network</w:t>
      </w:r>
      <w:r>
        <w:t xml:space="preserve"> </w:t>
      </w:r>
      <w:r>
        <w:t xml:space="preserve">(see Fortunato and Hric</w:t>
      </w:r>
      <w:r>
        <w:t xml:space="preserve"> </w:t>
      </w:r>
      <w:hyperlink w:anchor="ref-Fortunato2016Community">
        <w:r>
          <w:rPr>
            <w:rStyle w:val="Hyperlink"/>
          </w:rPr>
          <w:t xml:space="preserve">2016</w:t>
        </w:r>
      </w:hyperlink>
      <w:r>
        <w:t xml:space="preserve"> </w:t>
      </w:r>
      <w:r>
        <w:t xml:space="preserve">for an excellent review)</w:t>
      </w:r>
      <w:r>
        <w:t xml:space="preserve">. The choice of the right community detection method is controversial especially for very large networks in which cross-validation is difficult. Fortunately the network at hand is small enough to validate directly which lowers the risks of choosing the wrong method .</w:t>
      </w:r>
    </w:p>
    <w:p>
      <w:pPr>
        <w:pStyle w:val="BodyText"/>
      </w:pPr>
      <w:r>
        <w:t xml:space="preserve">To wit I adopt the well-known Louvain method of community detection based on hierarchical modularity maximization.</w:t>
      </w:r>
      <w:r>
        <w:t xml:space="preserve"> </w:t>
      </w:r>
      <w:r>
        <w:t xml:space="preserve">(Blondel et al.</w:t>
      </w:r>
      <w:r>
        <w:t xml:space="preserve"> </w:t>
      </w:r>
      <w:hyperlink w:anchor="ref-Blondel2008Fast">
        <w:r>
          <w:rPr>
            <w:rStyle w:val="Hyperlink"/>
          </w:rPr>
          <w:t xml:space="preserve">2008</w:t>
        </w:r>
      </w:hyperlink>
      <w:r>
        <w:t xml:space="preserve">)</w:t>
      </w:r>
      <w:r>
        <w:t xml:space="preserve"> </w:t>
      </w:r>
      <w:r>
        <w:t xml:space="preserve">Modularity is a quality metric quantifying the tradeoff between within-group and between-group ties. The modularity of any given partition of a network into clusters is equal to the proportion of ties that fall within clusters minus the expected proportion of within-group ties if ties were distributed randomly. A division that is as good as chance would have a modularity value of zero, a division better than chance a value between zero and one, and a division worse than chance a value between negative one and zero.</w:t>
      </w:r>
      <w:r>
        <w:t xml:space="preserve"> </w:t>
      </w:r>
      <w:r>
        <w:t xml:space="preserve">(Newman and Girvan</w:t>
      </w:r>
      <w:r>
        <w:t xml:space="preserve"> </w:t>
      </w:r>
      <w:hyperlink w:anchor="ref-Newman2004Finding">
        <w:r>
          <w:rPr>
            <w:rStyle w:val="Hyperlink"/>
          </w:rPr>
          <w:t xml:space="preserve">2004</w:t>
        </w:r>
      </w:hyperlink>
      <w:r>
        <w:t xml:space="preserve">:8)</w:t>
      </w:r>
      <w:r>
        <w:t xml:space="preserve"> </w:t>
      </w:r>
      <w:r>
        <w:t xml:space="preserve">Higher modularity scores indicate a better sorting of the network into densely tied clusters.</w:t>
      </w:r>
    </w:p>
    <w:p>
      <w:pPr>
        <w:pStyle w:val="BodyText"/>
      </w:pPr>
      <w:r>
        <w:t xml:space="preserve">The Louvain method is a bottom-up agglomerative algorithm. The procedure starts by assigning each node to its own community. Then, for each node, it assigns the node to the neighbor’s group that would most improve global modularity. It repeats this until no move improves modularity. This forms the first layer in the hierarchy. It then collapses groups into nodes and repeats the algorithm on the condensed network, stopping at the first level where there is no modularity improving move to make. The first layer represents the most local, the last layer the most global resolution of community structure.</w:t>
      </w:r>
    </w:p>
    <w:p>
      <w:pPr>
        <w:pStyle w:val="BodyText"/>
      </w:pPr>
      <w:r>
        <w:t xml:space="preserve">Modularity-based methods are tried and true, and their drawbacks are well-known. The Louvain method is not deterministic, as the outcome may (but usually does not) depend on the ordering of the nodes in the reassignment qeue. However Louvain has several features that recommend it. It is computationaly fast on small to medium graphs and it is freely available in network analysis software. It also gives a hierarchical solution that provides the analyst with options to inspect community structure at a range of local and global resolutions, akin to a cartography of counties versus one of continents. Given the small size of our network, a local resolution will not be overwhelming, so Louvain is preferable to other methods that only offer the coarser global view.</w:t>
      </w:r>
    </w:p>
    <w:p>
      <w:pPr>
        <w:pStyle w:val="BodyText"/>
      </w:pPr>
      <w:r>
        <w:t xml:space="preserve">Table</w:t>
      </w:r>
      <w:r>
        <w:t xml:space="preserve"> </w:t>
      </w:r>
      <w:r>
        <w:t xml:space="preserve">1</w:t>
      </w:r>
      <w:r>
        <w:t xml:space="preserve"> </w:t>
      </w:r>
      <w:r>
        <w:t xml:space="preserve">summarizes the results of applying the Louvain method to the journal facet and taking the most localized layer of the community structure. Learned labels are applied to the clusters by assigning each the name of its most frequent label. Community detection sharpens the boundaries between fields by placing each journal unambiguously in one superdiscipline or another. This mutual exclusivity is apparent by the sum of the given labels exceeding 100%.</w:t>
      </w:r>
    </w:p>
    <w:p>
      <w:pPr>
        <w:pStyle w:val="Compact"/>
      </w:pPr>
      <w:r>
        <w:t xml:space="preserve">(#tab:jclu-tab-sup)</w:t>
      </w:r>
      <w:r>
        <w:t xml:space="preserve">JSTOR Journal Counts</w:t>
      </w:r>
    </w:p>
    <w:p>
      <w:pPr>
        <w:pStyle w:val="Compact"/>
      </w:pPr>
      <w:r>
        <w:t xml:space="preserve">Superdiscipline</w:t>
      </w:r>
    </w:p>
    <w:p>
      <w:pPr>
        <w:pStyle w:val="Compact"/>
      </w:pPr>
      <w:r>
        <w:t xml:space="preserve">Learned</w:t>
      </w:r>
    </w:p>
    <w:p>
      <w:pPr>
        <w:pStyle w:val="Compact"/>
      </w:pPr>
      <w:r>
        <w:t xml:space="preserve">Pct</w:t>
      </w:r>
    </w:p>
    <w:p>
      <w:pPr>
        <w:pStyle w:val="Compact"/>
      </w:pPr>
      <w:r>
        <w:t xml:space="preserve">Given</w:t>
      </w:r>
    </w:p>
    <w:p>
      <w:pPr>
        <w:pStyle w:val="Compact"/>
      </w:pPr>
      <w:r>
        <w:t xml:space="preserve">GPct</w:t>
      </w:r>
    </w:p>
    <w:p>
      <w:pPr>
        <w:pStyle w:val="Compact"/>
      </w:pPr>
      <w:r>
        <w:t xml:space="preserve">Social Sciences</w:t>
      </w:r>
    </w:p>
    <w:p>
      <w:pPr>
        <w:pStyle w:val="Compact"/>
      </w:pPr>
      <w:r>
        <w:t xml:space="preserve">790</w:t>
      </w:r>
    </w:p>
    <w:p>
      <w:pPr>
        <w:pStyle w:val="Compact"/>
      </w:pPr>
      <w:r>
        <w:t xml:space="preserve">28.9</w:t>
      </w:r>
    </w:p>
    <w:p>
      <w:pPr>
        <w:pStyle w:val="Compact"/>
      </w:pPr>
      <w:r>
        <w:t xml:space="preserve">916</w:t>
      </w:r>
    </w:p>
    <w:p>
      <w:pPr>
        <w:pStyle w:val="Compact"/>
      </w:pPr>
      <w:r>
        <w:t xml:space="preserve">33.5</w:t>
      </w:r>
    </w:p>
    <w:p>
      <w:pPr>
        <w:pStyle w:val="Compact"/>
      </w:pPr>
      <w:r>
        <w:t xml:space="preserve">Humanities</w:t>
      </w:r>
    </w:p>
    <w:p>
      <w:pPr>
        <w:pStyle w:val="Compact"/>
      </w:pPr>
      <w:r>
        <w:t xml:space="preserve">664</w:t>
      </w:r>
    </w:p>
    <w:p>
      <w:pPr>
        <w:pStyle w:val="Compact"/>
      </w:pPr>
      <w:r>
        <w:t xml:space="preserve">24.3</w:t>
      </w:r>
    </w:p>
    <w:p>
      <w:pPr>
        <w:pStyle w:val="Compact"/>
      </w:pPr>
      <w:r>
        <w:t xml:space="preserve">719</w:t>
      </w:r>
    </w:p>
    <w:p>
      <w:pPr>
        <w:pStyle w:val="Compact"/>
      </w:pPr>
      <w:r>
        <w:t xml:space="preserve">26.3</w:t>
      </w:r>
    </w:p>
    <w:p>
      <w:pPr>
        <w:pStyle w:val="Compact"/>
      </w:pPr>
      <w:r>
        <w:t xml:space="preserve">Area Studies</w:t>
      </w:r>
    </w:p>
    <w:p>
      <w:pPr>
        <w:pStyle w:val="Compact"/>
      </w:pPr>
      <w:r>
        <w:t xml:space="preserve">357</w:t>
      </w:r>
    </w:p>
    <w:p>
      <w:pPr>
        <w:pStyle w:val="Compact"/>
      </w:pPr>
      <w:r>
        <w:t xml:space="preserve">13</w:t>
      </w:r>
    </w:p>
    <w:p>
      <w:pPr>
        <w:pStyle w:val="Compact"/>
      </w:pPr>
      <w:r>
        <w:t xml:space="preserve">499</w:t>
      </w:r>
    </w:p>
    <w:p>
      <w:pPr>
        <w:pStyle w:val="Compact"/>
      </w:pPr>
      <w:r>
        <w:t xml:space="preserve">18.2</w:t>
      </w:r>
    </w:p>
    <w:p>
      <w:pPr>
        <w:pStyle w:val="Compact"/>
      </w:pPr>
      <w:r>
        <w:t xml:space="preserve">Science &amp; Mathematics</w:t>
      </w:r>
    </w:p>
    <w:p>
      <w:pPr>
        <w:pStyle w:val="Compact"/>
      </w:pPr>
      <w:r>
        <w:t xml:space="preserve">307</w:t>
      </w:r>
    </w:p>
    <w:p>
      <w:pPr>
        <w:pStyle w:val="Compact"/>
      </w:pPr>
      <w:r>
        <w:t xml:space="preserve">11.2</w:t>
      </w:r>
    </w:p>
    <w:p>
      <w:pPr>
        <w:pStyle w:val="Compact"/>
      </w:pPr>
      <w:r>
        <w:t xml:space="preserve">360</w:t>
      </w:r>
    </w:p>
    <w:p>
      <w:pPr>
        <w:pStyle w:val="Compact"/>
      </w:pPr>
      <w:r>
        <w:t xml:space="preserve">13.1</w:t>
      </w:r>
    </w:p>
    <w:p>
      <w:pPr>
        <w:pStyle w:val="Compact"/>
      </w:pPr>
      <w:r>
        <w:t xml:space="preserve">Business &amp; Economics</w:t>
      </w:r>
    </w:p>
    <w:p>
      <w:pPr>
        <w:pStyle w:val="Compact"/>
      </w:pPr>
      <w:r>
        <w:t xml:space="preserve">266</w:t>
      </w:r>
    </w:p>
    <w:p>
      <w:pPr>
        <w:pStyle w:val="Compact"/>
      </w:pPr>
      <w:r>
        <w:t xml:space="preserve">9.7</w:t>
      </w:r>
    </w:p>
    <w:p>
      <w:pPr>
        <w:pStyle w:val="Compact"/>
      </w:pPr>
      <w:r>
        <w:t xml:space="preserve">285</w:t>
      </w:r>
    </w:p>
    <w:p>
      <w:pPr>
        <w:pStyle w:val="Compact"/>
      </w:pPr>
      <w:r>
        <w:t xml:space="preserve">10.4</w:t>
      </w:r>
    </w:p>
    <w:p>
      <w:pPr>
        <w:pStyle w:val="Compact"/>
      </w:pPr>
      <w:r>
        <w:t xml:space="preserve">Arts</w:t>
      </w:r>
    </w:p>
    <w:p>
      <w:pPr>
        <w:pStyle w:val="Compact"/>
      </w:pPr>
      <w:r>
        <w:t xml:space="preserve">240</w:t>
      </w:r>
    </w:p>
    <w:p>
      <w:pPr>
        <w:pStyle w:val="Compact"/>
      </w:pPr>
      <w:r>
        <w:t xml:space="preserve">8.8</w:t>
      </w:r>
    </w:p>
    <w:p>
      <w:pPr>
        <w:pStyle w:val="Compact"/>
      </w:pPr>
      <w:r>
        <w:t xml:space="preserve">293</w:t>
      </w:r>
    </w:p>
    <w:p>
      <w:pPr>
        <w:pStyle w:val="Compact"/>
      </w:pPr>
      <w:r>
        <w:t xml:space="preserve">10.7</w:t>
      </w:r>
    </w:p>
    <w:p>
      <w:pPr>
        <w:pStyle w:val="Compact"/>
      </w:pPr>
      <w:r>
        <w:t xml:space="preserve">Law</w:t>
      </w:r>
    </w:p>
    <w:p>
      <w:pPr>
        <w:pStyle w:val="Compact"/>
      </w:pPr>
      <w:r>
        <w:t xml:space="preserve">84</w:t>
      </w:r>
    </w:p>
    <w:p>
      <w:pPr>
        <w:pStyle w:val="Compact"/>
      </w:pPr>
      <w:r>
        <w:t xml:space="preserve">3.1</w:t>
      </w:r>
    </w:p>
    <w:p>
      <w:pPr>
        <w:pStyle w:val="Compact"/>
      </w:pPr>
      <w:r>
        <w:t xml:space="preserve">132</w:t>
      </w:r>
    </w:p>
    <w:p>
      <w:pPr>
        <w:pStyle w:val="Compact"/>
      </w:pPr>
      <w:r>
        <w:t xml:space="preserve">4.8</w:t>
      </w:r>
    </w:p>
    <w:p>
      <w:pPr>
        <w:pStyle w:val="Compact"/>
      </w:pPr>
      <w:r>
        <w:t xml:space="preserve">Medicine &amp; Allied Health</w:t>
      </w:r>
    </w:p>
    <w:p>
      <w:pPr>
        <w:pStyle w:val="Compact"/>
      </w:pPr>
      <w:r>
        <w:t xml:space="preserve">30</w:t>
      </w:r>
    </w:p>
    <w:p>
      <w:pPr>
        <w:pStyle w:val="Compact"/>
      </w:pPr>
      <w:r>
        <w:t xml:space="preserve">1.1</w:t>
      </w:r>
    </w:p>
    <w:p>
      <w:pPr>
        <w:pStyle w:val="Compact"/>
      </w:pPr>
      <w:r>
        <w:t xml:space="preserve">52</w:t>
      </w:r>
    </w:p>
    <w:p>
      <w:pPr>
        <w:pStyle w:val="Compact"/>
      </w:pPr>
      <w:r>
        <w:t xml:space="preserve">1.9</w:t>
      </w:r>
    </w:p>
    <w:p>
      <w:pPr>
        <w:pStyle w:val="Compact"/>
      </w:pPr>
      <w:r>
        <w:t xml:space="preserve">Total</w:t>
      </w:r>
    </w:p>
    <w:p>
      <w:pPr>
        <w:pStyle w:val="Compact"/>
      </w:pPr>
      <w:r>
        <w:t xml:space="preserve">2738</w:t>
      </w:r>
    </w:p>
    <w:p>
      <w:pPr>
        <w:pStyle w:val="Compact"/>
      </w:pPr>
      <w:r>
        <w:t xml:space="preserve">100.1</w:t>
      </w:r>
    </w:p>
    <w:p>
      <w:pPr>
        <w:pStyle w:val="Compact"/>
      </w:pPr>
      <w:r>
        <w:t xml:space="preserve">3256</w:t>
      </w:r>
    </w:p>
    <w:p>
      <w:pPr>
        <w:pStyle w:val="Compact"/>
      </w:pPr>
      <w:r>
        <w:t xml:space="preserve">118.9</w:t>
      </w:r>
    </w:p>
    <w:p>
      <w:pPr>
        <w:pStyle w:val="BodyText"/>
      </w:pPr>
      <w:r>
        <w:t xml:space="preserve">The first finding is that of the 79 labels these eight form the top of a hierarchy of superdisciplines. Area Studies stands apart and is not subsumed under either Social Sciences or Humanities. Social Sciences journals predominate due to JSTOR’s initial focus in that area, even without counting economics among them, and Science &amp; Mathematics counts for a larger than one might think. Economics stands apart from the Social Sciences, and indeed Business &amp; Economics marks the transition from the larger academic journal space to the smaller professional space of Arts, Law, and Medicine &amp; Allied Health.</w:t>
      </w:r>
    </w:p>
    <w:p>
      <w:pPr>
        <w:pStyle w:val="BodyText"/>
      </w:pPr>
      <w:r>
        <w:t xml:space="preserve">The given labels do overlap and we can recover a picture of interdisciplinary by clustering and visualizing the label facet. This facet presents a simplified view. Recall that each facet represents the same data, the difference being whether a journal or a label is represented as a node or an edge, and that there is a population imbalance in favor of journals over labels. The larger the population the easier it is to partition into a greater number of subpopulations. Converseley, because there are far fewer labels than journals, we would expect the clustering to be less granular for the label network than for the journal network. In fact there is only one less cluster–Law–which is subsumed under Social Sciences.</w:t>
      </w:r>
    </w:p>
    <w:p>
      <w:pPr>
        <w:pStyle w:val="Heading2"/>
      </w:pPr>
      <w:bookmarkStart w:id="68" w:name="network-visualization"/>
      <w:r>
        <w:t xml:space="preserve">Network Visualization</w:t>
      </w:r>
      <w:bookmarkEnd w:id="68"/>
    </w:p>
    <w:p>
      <w:pPr>
        <w:pStyle w:val="FirstParagraph"/>
      </w:pPr>
      <w:r>
        <w:t xml:space="preserve">Figure</w:t>
      </w:r>
      <w:r>
        <w:t xml:space="preserve"> </w:t>
      </w:r>
      <w:r>
        <w:t xml:space="preserve">9</w:t>
      </w:r>
      <w:r>
        <w:t xml:space="preserve"> </w:t>
      </w:r>
      <w:r>
        <w:t xml:space="preserve">visualizations the relationships among disciplines, where again the strength of ties is equal to the number of journals bearing both labels. Here the label with highest number of ties within its cluster becomes the category name of the cluster. That label is then ommitted as a node and is instead visualized as a color coding of its cluster, reflecting the special status of the superdiscipline labels.</w:t>
      </w:r>
    </w:p>
    <w:p>
      <w:pPr>
        <w:pStyle w:val="BodyText"/>
      </w:pPr>
      <w:r>
        <w:t xml:space="preserve">Unlike traditional graph visualizations that are designed to be pleasing to the eye, this one is drawn according to a statistical model called a latent position or latent space model. It starts with a simple idea that the weight of the edges (the number of journals carrying both labels) is a count that follows a Poisson distribution. This distribution may be modeled by log-linear regression where the logarithm of the mean of the distribution is a linear function of an intercept term and covariates. What is interesting about the model is that the covariate of interest is treated as the distance between the nodes in an unobserved or latent space. The distance is treated as negative such that as nodes get closer together (as the negative distance increases) the count of the edge weight between them increases (technically the logarithm of the mean of the count increases).</w:t>
      </w:r>
    </w:p>
    <w:p>
      <w:pPr>
        <w:pStyle w:val="BodyText"/>
      </w:pPr>
      <w:r>
        <w:t xml:space="preserve">It is an elegant idea, but estimating the model is complicated. The distances are metaphorical, and to realize them requires positing a euclidean space in which each node has coordinates. From the coordinates the distances can be easily caculated, but knowing which are the right coordinates requires a complicated estimation routine based on optimizing goodness of fit between guesses of the coordinates and the actual count data. The estimator begins with coordinates taken from the conventional Fruchterman Reingold layout algorithm and uses Markov Chain Monte Carlo simulation to converge toward the positions that optimally fit the latent space assumption</w:t>
      </w:r>
      <w:r>
        <w:t xml:space="preserve"> </w:t>
      </w:r>
      <w:r>
        <w:t xml:space="preserve">(See Krivitsky and Handcock</w:t>
      </w:r>
      <w:r>
        <w:t xml:space="preserve"> </w:t>
      </w:r>
      <w:hyperlink w:anchor="ref-Krivitsky2008Fitting">
        <w:r>
          <w:rPr>
            <w:rStyle w:val="Hyperlink"/>
          </w:rPr>
          <w:t xml:space="preserve">2008</w:t>
        </w:r>
      </w:hyperlink>
      <w:r>
        <w:t xml:space="preserve"> </w:t>
      </w:r>
      <w:r>
        <w:t xml:space="preserve">for details of the model, estimation, and software)</w:t>
      </w:r>
      <w:r>
        <w:t xml:space="preserve">. Even if the estimator does not arrive at a perfect solution it improves upon a conventional layout in the direction of meaningful, and not just pretty, aesthetics thereby helping the viewer to avoid artifacts and perceive real information about the network.</w:t>
      </w:r>
    </w:p>
    <w:p>
      <w:pPr>
        <w:pStyle w:val="BodyText"/>
      </w:pPr>
      <w:r>
        <w:t xml:space="preserve">Another great feature of the latent space model is that it allows additional terms to be fit alongside the latent distances. It is possible to control for or net out the effect of nuisance terms like any other regression. As discussed above there is a concern about the undue effect of popular labels. We have already tried to remove the superdiscipline labels from the label network, preferring to represent them as color coded categories rather than nodes. Popular labels may still remain, however, and due to the exponential growth of ties during downmode conversion even a handful of them will have a disproportionate influence on the global layout of the graph.</w:t>
      </w:r>
    </w:p>
    <w:p>
      <w:pPr>
        <w:pStyle w:val="BodyText"/>
      </w:pPr>
      <w:r>
        <w:t xml:space="preserve">This degree distortion can be controlled for by what is called a sociality term, which can be thought of as a measure of a node’s popularity. A sociality term is a score for every node that if positive means a node is more attractive and if negative means a node is actually repulsive of ties. When viewing the positions of a latent space model also fit with a sociality term, the space will measure relatedness without the effects of popularity.</w:t>
      </w:r>
    </w:p>
    <w:p>
      <w:pPr>
        <w:pStyle w:val="BodyText"/>
      </w:pPr>
      <w:r>
        <w:t xml:space="preserve">Figure</w:t>
      </w:r>
      <w:r>
        <w:t xml:space="preserve"> </w:t>
      </w:r>
      <w:r>
        <w:t xml:space="preserve">9</w:t>
      </w:r>
      <w:r>
        <w:t xml:space="preserve"> </w:t>
      </w:r>
      <w:r>
        <w:t xml:space="preserve">plots the results of a latent space model on the label facet omitting superdiscipline nodes.</w:t>
      </w:r>
    </w:p>
    <w:p>
      <w:pPr>
        <w:pStyle w:val="CaptionedFigure"/>
      </w:pPr>
      <w:r>
        <w:drawing>
          <wp:inline>
            <wp:extent cx="5334000" cy="4267200"/>
            <wp:effectExtent b="0" l="0" r="0" t="0"/>
            <wp:docPr descr="Figure 9 Discipline Network in Latent Space. Node size represents sociality. The larger a node, the more attractive it is, and the larger a white dot within a node, the more repulsive it is." title="" id="1" name="Picture"/>
            <a:graphic>
              <a:graphicData uri="http://schemas.openxmlformats.org/drawingml/2006/picture">
                <pic:pic>
                  <pic:nvPicPr>
                    <pic:cNvPr descr="ambrose_dissertation_files/figure-docx/jclu-lnet-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Discipline Network in Latent Space. Node size represents sociality. The larger a node, the more attractive it is, and the larger a white dot within a node, the more repulsive it is.</w:t>
      </w:r>
    </w:p>
    <w:p>
      <w:pPr>
        <w:pStyle w:val="BodyText"/>
      </w:pPr>
      <w:r>
        <w:t xml:space="preserve">Here some of the granular categories are collapsed. The humanities includes arts, as we might expect, but also area studies, which one might have classed with the social sciences, but which bear stronger ties to cultural studies like music, folklore, religion, and language and literature. Law and medicine and allied health are grouped with the social sciences, and business and economics is maintained as separate field due merely to the attachment of three professional fields–development studies, management and organizational behavior, and marketing and advertising–to their parent disciplines business and economics (not to be confused with the separate and ommitted label</w:t>
      </w:r>
      <w:r>
        <w:t xml:space="preserve"> </w:t>
      </w:r>
      <w:r>
        <w:t xml:space="preserve">“</w:t>
      </w:r>
      <w:r>
        <w:t xml:space="preserve">business and economics</w:t>
      </w:r>
      <w:r>
        <w:t xml:space="preserve">”</w:t>
      </w:r>
      <w:r>
        <w:t xml:space="preserve">), which are themselves strongly tied to the social sciences.</w:t>
      </w:r>
    </w:p>
    <w:p>
      <w:pPr>
        <w:pStyle w:val="SourceCode"/>
      </w:pPr>
      <w:r>
        <w:rPr>
          <w:rStyle w:val="VerbatimChar"/>
        </w:rPr>
        <w:t xml:space="preserve">Setting the `off` event (i.e., 'plotly_doubleclick') to match the `on` event (i.e., 'plotly_click'). You can change this default via the `highlight()` function.</w:t>
      </w:r>
    </w:p>
    <w:p>
      <w:pPr>
        <w:pStyle w:val="CaptionedFigure"/>
      </w:pPr>
      <w:r>
        <w:drawing>
          <wp:inline>
            <wp:extent cx="5334000" cy="4267200"/>
            <wp:effectExtent b="0" l="0" r="0" t="0"/>
            <wp:docPr descr="Figure 10 Fruchterman Reingold and Latent Space Layouts Compared" title="" id="1" name="Picture"/>
            <a:graphic>
              <a:graphicData uri="http://schemas.openxmlformats.org/drawingml/2006/picture">
                <pic:pic>
                  <pic:nvPicPr>
                    <pic:cNvPr descr="ambrose_dissertation_files/figure-docx/layouts-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Fruchterman Reingold and Latent Space Layouts Compared</w:t>
      </w:r>
    </w:p>
    <w:p>
      <w:pPr>
        <w:pStyle w:val="BodyText"/>
      </w:pPr>
      <w:r>
        <w:t xml:space="preserve">Though graph layouts are imperfect and should not be overinterpreted, the global features of facing within clusters do indicate the disciplines that straddle boundaries. On the border between the social sciences and science and mathematics are the social sciences dealing most with the physical problems of space, health, and technology. On the edge of the humanities and social sciences are history, philosophy, and anthropology.</w:t>
      </w:r>
    </w:p>
    <w:p>
      <w:pPr>
        <w:pStyle w:val="Heading1"/>
      </w:pPr>
      <w:bookmarkStart w:id="71" w:name="cit"/>
      <w:r>
        <w:t xml:space="preserve">The Social Science Citation Landscape, 1900-1940</w:t>
      </w:r>
      <w:bookmarkEnd w:id="71"/>
    </w:p>
    <w:p>
      <w:pPr>
        <w:pStyle w:val="Heading4"/>
      </w:pPr>
      <w:bookmarkStart w:id="72" w:name="abstract-2"/>
      <w:r>
        <w:t xml:space="preserve">Abstract</w:t>
      </w:r>
      <w:bookmarkEnd w:id="72"/>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Heading4"/>
      </w:pPr>
      <w:bookmarkStart w:id="73" w:name="keywords-2"/>
      <w:r>
        <w:t xml:space="preserve">Keywords</w:t>
      </w:r>
      <w:bookmarkEnd w:id="73"/>
    </w:p>
    <w:p>
      <w:pPr>
        <w:pStyle w:val="FirstParagraph"/>
      </w:pPr>
      <w:r>
        <w:t xml:space="preserve">citations, k-clique communities, community detection, landscape</w:t>
      </w:r>
    </w:p>
    <w:p>
      <w:pPr>
        <w:pStyle w:val="Heading2"/>
      </w:pPr>
      <w:bookmarkStart w:id="74" w:name="introduction-1"/>
      <w:r>
        <w:t xml:space="preserve">Introduction</w:t>
      </w:r>
      <w:bookmarkEnd w:id="74"/>
    </w:p>
    <w:p>
      <w:pPr>
        <w:pStyle w:val="FirstParagraph"/>
      </w:pPr>
      <w:r>
        <w:t xml:space="preserve">If knowledge is power then scholar must be a powerful class. But what kind of power is knowledge and in what way do scholars wield it? Is knowledge powerful a utility, like water or electricity, to drive a tool and accomplish a task? Is it an asymmetry of information, like a stock tip or the combination to a safe, that gives one a leg up on her competition? Is knowledge like the power of an authority, like a governor, a military commander, or clergyman, to compel the loyalty and obedience of another person?</w:t>
      </w:r>
    </w:p>
    <w:p>
      <w:pPr>
        <w:pStyle w:val="BodyText"/>
      </w:pPr>
      <w:r>
        <w:t xml:space="preserve">How we conceive of knowledge affects how we view the nature and importance of the people and institutions that produce it. Scholars certainly do not have a monopoly on the utilization of production of knowledge in society, but their occupational roles are conditioned by the stuff of knowledge at the same time that knowledge is itself conditioned by the technology and social arrangements that constitute scholarly occupations.</w:t>
      </w:r>
    </w:p>
    <w:p>
      <w:pPr>
        <w:pStyle w:val="Heading3"/>
      </w:pPr>
      <w:bookmarkStart w:id="75" w:name="Xf61af20cabc0021a16601ae4546e6d08ea8b12d"/>
      <w:r>
        <w:t xml:space="preserve">Scholarly Communication vs Knowledge Terrain</w:t>
      </w:r>
      <w:bookmarkEnd w:id="75"/>
    </w:p>
    <w:p>
      <w:pPr>
        <w:pStyle w:val="FirstParagraph"/>
      </w:pPr>
      <w:r>
        <w:t xml:space="preserve">If the production of culture perspective were to argue against Marx’s German Ideology, it might say,</w:t>
      </w:r>
      <w:r>
        <w:t xml:space="preserve"> </w:t>
      </w:r>
      <w:r>
        <w:t xml:space="preserve">“</w:t>
      </w:r>
      <w:r>
        <w:t xml:space="preserve">Not all mental laborers have soft hands.</w:t>
      </w:r>
      <w:r>
        <w:t xml:space="preserve">”</w:t>
      </w:r>
      <w:r>
        <w:t xml:space="preserve"> </w:t>
      </w:r>
      <w:r>
        <w:t xml:space="preserve">Marx drew a course distinction between mental and material labor to demonstrate that the former is not possible without the latter, even when at the time mental labor had already been commidified with the advent of print media. The production of culture perspective simply effaces the distinction altogether; mental labor, or cultural products, are like any other industrialized commodity.</w:t>
      </w:r>
    </w:p>
    <w:p>
      <w:pPr>
        <w:pStyle w:val="BodyText"/>
      </w:pPr>
      <w:r>
        <w:t xml:space="preserve">The production of culture perspective is at odds with public sector economics that argues that non market mechanisms create value where markets fail to do so.</w:t>
      </w:r>
      <w:r>
        <w:t xml:space="preserve"> </w:t>
      </w:r>
      <w:r>
        <w:t xml:space="preserve">(Hayes</w:t>
      </w:r>
      <w:r>
        <w:t xml:space="preserve"> </w:t>
      </w:r>
      <w:hyperlink w:anchor="ref-Hayes2000Assessing">
        <w:r>
          <w:rPr>
            <w:rStyle w:val="Hyperlink"/>
          </w:rPr>
          <w:t xml:space="preserve">2000</w:t>
        </w:r>
      </w:hyperlink>
      <w:r>
        <w:t xml:space="preserve">)</w:t>
      </w:r>
    </w:p>
    <w:p>
      <w:pPr>
        <w:pStyle w:val="BodyText"/>
      </w:pPr>
      <w:r>
        <w:t xml:space="preserve">Remuneration</w:t>
      </w:r>
    </w:p>
    <w:p>
      <w:pPr>
        <w:pStyle w:val="BodyText"/>
      </w:pPr>
      <w:r>
        <w:t xml:space="preserve">Are culturally interior products</w:t>
      </w:r>
      <w:r>
        <w:t xml:space="preserve"> </w:t>
      </w:r>
      <w:r>
        <w:t xml:space="preserve"> </w:t>
      </w:r>
      <w:r>
        <w:t xml:space="preserve">referenced by socially superior</w:t>
      </w:r>
      <w:r>
        <w:t xml:space="preserve"> </w:t>
      </w:r>
      <w:r>
        <w:t xml:space="preserve"> </w:t>
      </w:r>
      <w:r>
        <w:t xml:space="preserve">producers?</w:t>
      </w:r>
    </w:p>
    <w:p>
      <w:pPr>
        <w:pStyle w:val="Heading3"/>
      </w:pPr>
      <w:bookmarkStart w:id="76" w:name="wok"/>
      <w:r>
        <w:t xml:space="preserve">Mapping Knowledge Terrain</w:t>
      </w:r>
      <w:bookmarkEnd w:id="76"/>
    </w:p>
    <w:p>
      <w:pPr>
        <w:pStyle w:val="Heading4"/>
      </w:pPr>
      <w:bookmarkStart w:id="77" w:name="knowledge-stuff"/>
      <w:r>
        <w:t xml:space="preserve">knowledge stuff</w:t>
      </w:r>
      <w:bookmarkEnd w:id="77"/>
    </w:p>
    <w:p>
      <w:pPr>
        <w:pStyle w:val="FirstParagraph"/>
      </w:pPr>
      <w:r>
        <w:t xml:space="preserve">There are two reasons to map knowledge spaces. First, we may want to know how knowledge develops as a resource unto itself. Second, we may want to exploit such a map for a productive purpose. Here we will attempt the second as prologue to the first. We will tackle the technical problems of constructing a map. We will show how a map can be put to use. Finally, we will investigate how the particular map we make may tend to predictably get us lost.</w:t>
      </w:r>
    </w:p>
    <w:p>
      <w:pPr>
        <w:pStyle w:val="BodyText"/>
      </w:pPr>
      <w:r>
        <w:t xml:space="preserve">All knowledge mapping requires first an ontological and then an analytical action. Ontological actions delineate the things that matter. They arbitrarily construct from perception the items that we then think about. While onotological decisions tend to define the scope of everything that may be learned from an investigation, they are often assumed rather than demonstrated. Actor Network Theory (ANT) provides a unique example of a method of research that, because it is ethnographic and thus marinating in an abundance of perception, allows the cast of ontic characters to grow. Literally anything can be deigned significant for inclusion in a web of knoweldge. In an ANT study of science, if the feel of a reading chair modifies a reader’s oreintation to a text they are reading, the chair counts.</w:t>
      </w:r>
    </w:p>
    <w:p>
      <w:pPr>
        <w:pStyle w:val="BodyText"/>
      </w:pPr>
      <w:r>
        <w:t xml:space="preserve">The lion’s share of knowledge mapping studies are not so ontologically radical as ANT. Take the field of bibliometrics. The ontological decision here is to take documents as the primary ontic. Documents are nothing but collections of glyphs, so the first task of bibliometricians tends to be to map glyphs to terms and analyze them. Here we have already used the ontic triad underlying bibliometrics. In the sentence</w:t>
      </w:r>
    </w:p>
    <w:p>
      <w:pPr>
        <w:pStyle w:val="BlockText"/>
      </w:pPr>
      <w:r>
        <w:t xml:space="preserve">“</w:t>
      </w:r>
      <w:r>
        <w:t xml:space="preserve">Go, dog, go!</w:t>
      </w:r>
      <w:r>
        <w:t xml:space="preserve">”</w:t>
      </w:r>
    </w:p>
    <w:p>
      <w:pPr>
        <w:pStyle w:val="FirstParagraph"/>
      </w:pPr>
      <w:r>
        <w:t xml:space="preserve">there are twelve discrete glyphs and two terms. A grammatical cutting rule renders the glyph sequences as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and a tokenization rule maps the cuts to two terms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which may in turn be analyzed, for instance by counting the tokens. The documents form the bins within and across which the terms will be analyzed. The token, as a mere operational step, is used and then dispensed with unless questions of measurement surface. Clearly the</w:t>
      </w:r>
      <w:r>
        <w:t xml:space="preserve"> </w:t>
      </w:r>
      <w:r>
        <w:rPr>
          <w:i/>
        </w:rPr>
        <w:t xml:space="preserve">glyph-term-document</w:t>
      </w:r>
      <w:r>
        <w:t xml:space="preserve"> </w:t>
      </w:r>
      <w:r>
        <w:t xml:space="preserve">(GTD) ontic does not care about the armchair of a reader of a document, and indeed does not even care about the reader herself.</w:t>
      </w:r>
      <w:r>
        <w:t xml:space="preserve"> </w:t>
      </w:r>
    </w:p>
    <w:p>
      <w:pPr>
        <w:pStyle w:val="BodyText"/>
      </w:pPr>
      <w:r>
        <w:t xml:space="preserve">So the reader is invisible because she is not inscribed in the document. What about the writer? Bibliometricians may backfill GTD by entity recognition or grounding. Once terms are recognized, we may further recognize that we know more about them. A simple example of this is pulling out</w:t>
      </w:r>
      <w:r>
        <w:t xml:space="preserve"> </w:t>
      </w:r>
      <w:r>
        <w:t xml:space="preserve">“</w:t>
      </w:r>
      <w:r>
        <w:t xml:space="preserve">metadata</w:t>
      </w:r>
      <w:r>
        <w:t xml:space="preserve">”</w:t>
      </w:r>
      <w:r>
        <w:t xml:space="preserve">, for instance, the author of a document. The author’s name is not just any term, but a conceptually very important one. Grounding is how bibliometrics may be linked to theories and programs of greater importance.</w:t>
      </w:r>
    </w:p>
    <w:p>
      <w:pPr>
        <w:pStyle w:val="BodyText"/>
      </w:pPr>
      <w:r>
        <w:t xml:space="preserve">Bibliometrics has indeed been based more on the reference of a text as a particular grounded entity rather than on the use of the full text of a document. If a text is a building, the reference is its address. More precise than a name, an address is a codification of different hierarchically ordered elements that describe the location of an entity. The consistent tokenization of a reference is not an easy task, as it depends on entity recognition of several different kinds of things, including year of publication, author, title, and source.</w:t>
      </w:r>
    </w:p>
    <w:p>
      <w:pPr>
        <w:pStyle w:val="BodyText"/>
      </w:pPr>
      <w:r>
        <w:t xml:space="preserve">The citation became the basis of the concept of a web of knowledge as coined in the work of Eugene Garfield and institutionalized in the Institute for Scientific Information (ISI).</w:t>
      </w:r>
    </w:p>
    <w:p>
      <w:pPr>
        <w:pStyle w:val="BodyText"/>
      </w:pPr>
      <w:r>
        <w:t xml:space="preserve">Citations solved the problem that ideas do not have signatures or addresses that we can trace reliably. Jargon is an attempt to give an idea a unique address as an idiosyncratic term, and etymology seeks to hierarchically order words according to their origins, but an idea per se will always elude precise identification. Unlike a document, an idea is not mechanically reproducible; it always requires interpretation and understanding in a mind, and a mental event as subtle as an idea cannot be observed.</w:t>
      </w:r>
    </w:p>
    <w:p>
      <w:pPr>
        <w:pStyle w:val="BodyText"/>
      </w:pPr>
      <w:r>
        <w:t xml:space="preserve">(Lederberg</w:t>
      </w:r>
      <w:r>
        <w:t xml:space="preserve"> </w:t>
      </w:r>
      <w:hyperlink w:anchor="ref-Lederberg2000How">
        <w:r>
          <w:rPr>
            <w:rStyle w:val="Hyperlink"/>
          </w:rPr>
          <w:t xml:space="preserve">2000</w:t>
        </w:r>
      </w:hyperlink>
      <w:r>
        <w:t xml:space="preserve">)</w:t>
      </w:r>
      <w:r>
        <w:t xml:space="preserve"> </w:t>
      </w:r>
      <w:r>
        <w:t xml:space="preserve">Garfield conflates citations with several roles in the network around ideas. Compares value of citations to value of subject coders, coding meaning of paragraphs intractable. ISI became a commercial pursuit because Garfield failed to get scientific institutions, especially the NSF, to fund it. The goal was primarily practical, to give researches access to current or historical references relevant to articles, perhaps especially their own, they knew they were already interested in.</w:t>
      </w:r>
    </w:p>
    <w:p>
      <w:pPr>
        <w:pStyle w:val="BodyText"/>
      </w:pPr>
      <w:r>
        <w:t xml:space="preserve">Unlike ideas, documents are physical artifacts and can be traced empirically. They are fungible, reproducible, and locatable with addresses.</w:t>
      </w:r>
    </w:p>
    <w:p>
      <w:pPr>
        <w:pStyle w:val="BodyText"/>
      </w:pPr>
      <w:r>
        <w:t xml:space="preserve">The reproduction and location of ideas cannot be reliably observed, and documents only contain ideas in a metaphorical sense, as a Leyden jar was once thought to contain electricity.</w:t>
      </w:r>
    </w:p>
    <w:p>
      <w:pPr>
        <w:pStyle w:val="BodyText"/>
      </w:pPr>
      <w:r>
        <w:t xml:space="preserve">Documents are the tangible and fungible currency with which scholars communicate about ideas, yet how knowledge is actually communicated via documents is not amenable to direct observation at scale. In bibliometrics they have served as a proxy for ideas.</w:t>
      </w:r>
    </w:p>
    <w:p>
      <w:pPr>
        <w:pStyle w:val="BodyText"/>
      </w:pPr>
      <w:r>
        <w:t xml:space="preserve">There have been two main orientations to mapping the web of knowledge, description and conscription. Description has either scientific aims, to underatand and explain the facts of knoweldge development, or practical aims, to locate and retrieve knowledge required for a particular purpose. Conscription on the other hand aims to mobilize bibliometric patterns of knowledge as measures of value in competitive markets, namely hiring, promotion, and awards within scholarly professions.</w:t>
      </w:r>
    </w:p>
    <w:p>
      <w:pPr>
        <w:pStyle w:val="BodyText"/>
      </w:pPr>
      <w:r>
        <w:t xml:space="preserve">There are several ways to digitally represent texts as knowledge.</w:t>
      </w:r>
    </w:p>
    <w:p>
      <w:pPr>
        <w:pStyle w:val="BodyText"/>
      </w:pPr>
      <w:r>
        <w:t xml:space="preserve">From an empirical perspective, texts are nothing but collections or bins of glyphs. The current paradigm is to render glyphs and recognize them as terms. Such terms may then be analyzed, for instance, by counting diction. Alternative paradigms are cropping up</w:t>
      </w:r>
    </w:p>
    <w:p>
      <w:pPr>
        <w:pStyle w:val="BodyText"/>
      </w:pPr>
      <w:r>
        <w:t xml:space="preserve">Second is entity recognition or grounding, where recognized terms are mapped to an existing database of structured knowledge.</w:t>
      </w:r>
    </w:p>
    <w:p>
      <w:pPr>
        <w:pStyle w:val="BodyText"/>
      </w:pPr>
      <w:r>
        <w:t xml:space="preserve">(Pilkington and Meredith</w:t>
      </w:r>
      <w:r>
        <w:t xml:space="preserve"> </w:t>
      </w:r>
      <w:hyperlink w:anchor="ref-Pilkington2009evolution">
        <w:r>
          <w:rPr>
            <w:rStyle w:val="Hyperlink"/>
          </w:rPr>
          <w:t xml:space="preserve">2009</w:t>
        </w:r>
      </w:hyperlink>
      <w:r>
        <w:t xml:space="preserve">)</w:t>
      </w:r>
    </w:p>
    <w:p>
      <w:pPr>
        <w:pStyle w:val="Heading3"/>
      </w:pPr>
      <w:bookmarkStart w:id="78" w:name="X149e5b3b957ca88293814dc48bcf2d2e8d36b2a"/>
      <w:r>
        <w:t xml:space="preserve">Disciplines as a Large World Co-reference Network</w:t>
      </w:r>
      <w:bookmarkEnd w:id="78"/>
    </w:p>
    <w:p>
      <w:pPr>
        <w:pStyle w:val="FirstParagraph"/>
      </w:pPr>
      <w:r>
        <w:t xml:space="preserve">A large world network is not amenable to traditional visual representations due to its extreme density. Scholars often use edge filtering to reduce this density down to a manageable size for vizualization. Unfortunately this convenience function renders a large world as a small world and grossly misrepresents the true structure of the network. In the KCC representation, the network is partitioned into subnetworks of differential density. Nodes are included in a subnetwork if they are involved in ties at a given floor of density, for instance, they need to be tied to at least five other nodes. At a level of five, then, nodes involved in only four ties would be excluded. As this standard is raised, more nodes are excluded. This results in a nested set of subnetworks, where nodes included in a community at a lower threshold are excluded at a higher threshold. Subnetworks of lower density thresholds are always as big or larger than those at higher threshholds. Moreover, higher density subnetworks are always subsets of lower density communities, as their density meets and exceeds the standard for inclusion at the lower level. As one can imagine, inclusive levels are larger. As the threshold is raised subgroupings are sluffed off until reaching points of maximal density. In a world where almost everything is connected, there are no structural holes to reveal differences between subnetworks. Instead, we can view the structure as gradations in density within a very densely connected world.</w:t>
      </w:r>
    </w:p>
    <w:p>
      <w:pPr>
        <w:pStyle w:val="BodyText"/>
      </w:pPr>
      <w:r>
        <w:t xml:space="preserve">Nodes meeting the highest standards can be thought of as omnivorous; their ties draw them to the masses, but the masses are not sufficiently tied to the higher standard community. Where the gentry may be as comfortable at the movies as at the symphony, the layity lacks access to the more erudite circles.</w:t>
      </w:r>
    </w:p>
    <w:p>
      <w:pPr>
        <w:pStyle w:val="BodyText"/>
      </w:pPr>
      <w:r>
        <w:t xml:space="preserve">What is the credential that would allow a node to climb the hierarchy? One’s list of aqcuaintances must overlap by a certain amount (defined by the threshold) with the membership of the higher tier. Indeed their inclusion would change the credentials of everyone they are tied with, as anyone who was just under the standard would be tipped in based on their friend’s promotion.</w:t>
      </w:r>
    </w:p>
    <w:p>
      <w:pPr>
        <w:pStyle w:val="BodyText"/>
      </w:pPr>
      <w:r>
        <w:t xml:space="preserve">In the KCC model the references are the members of the hierarchy. Their association with each other is determined by how they are used by published authors. Authors who include two references on their bibliography tie those references together in the network. Indeed each citing article lays down a dense clique of references, and the impact of an article grows quadratically with the length of its reference list.</w:t>
      </w:r>
    </w:p>
    <w:p>
      <w:pPr>
        <w:pStyle w:val="Heading2"/>
      </w:pPr>
      <w:bookmarkStart w:id="79" w:name="methods"/>
      <w:r>
        <w:t xml:space="preserve">Methods</w:t>
      </w:r>
      <w:bookmarkEnd w:id="79"/>
    </w:p>
    <w:p>
      <w:pPr>
        <w:pStyle w:val="Heading2"/>
      </w:pPr>
      <w:bookmarkStart w:id="80" w:name="data-1"/>
      <w:r>
        <w:t xml:space="preserve">Data</w:t>
      </w:r>
      <w:bookmarkEnd w:id="80"/>
    </w:p>
    <w:p>
      <w:pPr>
        <w:pStyle w:val="Heading2"/>
      </w:pPr>
      <w:bookmarkStart w:id="81" w:name="results"/>
      <w:r>
        <w:t xml:space="preserve">Results</w:t>
      </w:r>
      <w:bookmarkEnd w:id="81"/>
    </w:p>
    <w:p>
      <w:pPr>
        <w:pStyle w:val="FirstParagraph"/>
      </w:pPr>
      <w:r>
        <w:t xml:space="preserve">The structure of a large world as revealed by KCC can be explored in a bottom-up and top-down fashion. Bottom-up observes 3-clique communities first. In the social science co-reference network.</w:t>
      </w:r>
    </w:p>
    <w:p>
      <w:pPr>
        <w:pStyle w:val="CaptionedFigure"/>
      </w:pPr>
      <w:r>
        <w:drawing>
          <wp:inline>
            <wp:extent cx="5334000" cy="4267200"/>
            <wp:effectExtent b="0" l="0" r="0" t="0"/>
            <wp:docPr descr="Figure 11 K-clique Community Structure (popout)" title="" id="1" name="Picture"/>
            <a:graphic>
              <a:graphicData uri="http://schemas.openxmlformats.org/drawingml/2006/picture">
                <pic:pic>
                  <pic:nvPicPr>
                    <pic:cNvPr descr="ambrose_dissertation_files/figure-docx/kcc2tree-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K-clique Community Structure (</w:t>
      </w:r>
      <w:hyperlink r:id="rId83">
        <w:r>
          <w:rPr>
            <w:rStyle w:val="Hyperlink"/>
          </w:rPr>
          <w:t xml:space="preserve">popout</w:t>
        </w:r>
      </w:hyperlink>
      <w:r>
        <w:t xml:space="preserve">)</w:t>
      </w:r>
    </w:p>
    <w:p>
      <w:pPr>
        <w:pStyle w:val="BodyText"/>
      </w:pPr>
      <w:r>
        <w:t xml:space="preserve">Figure</w:t>
      </w:r>
      <w:r>
        <w:t xml:space="preserve"> </w:t>
      </w:r>
      <w:r>
        <w:t xml:space="preserve">11</w:t>
      </w:r>
      <w:r>
        <w:t xml:space="preserve"> </w:t>
      </w:r>
      <w:r>
        <w:t xml:space="preserve">shows a KCC model of the social sciences in the first half of the twentieth century.</w:t>
      </w:r>
    </w:p>
    <w:p>
      <w:pPr>
        <w:pStyle w:val="BodyText"/>
      </w:pPr>
      <w:r>
        <w:t xml:space="preserve">Disciplinarity and interdisciplinarity are revealed in a novel fashion in the KCC model. Disciplinarity is shown as a level of exclusion.</w:t>
      </w:r>
    </w:p>
    <w:p>
      <w:pPr>
        <w:pStyle w:val="Heading3"/>
      </w:pPr>
      <w:bookmarkStart w:id="84" w:name="continents"/>
      <w:r>
        <w:t xml:space="preserve">Continents</w:t>
      </w:r>
      <w:bookmarkEnd w:id="84"/>
    </w:p>
    <w:p>
      <w:pPr>
        <w:pStyle w:val="FirstParagraph"/>
      </w:pPr>
      <w:r>
        <w:t xml:space="preserve">The global map is made of many separate regions ranging in scale from large continents to small isles. These regions are either shawlowly connected or entirely separated from each other. The vast majority of these regions are</w:t>
      </w:r>
      <w:r>
        <w:t xml:space="preserve"> </w:t>
      </w:r>
      <w:r>
        <w:t xml:space="preserve">“</w:t>
      </w:r>
      <w:r>
        <w:t xml:space="preserve">flat isles</w:t>
      </w:r>
      <w:r>
        <w:t xml:space="preserve">”</w:t>
      </w:r>
      <w:r>
        <w:t xml:space="preserve"> </w:t>
      </w:r>
      <w:r>
        <w:t xml:space="preserve">with little to no internal structure of their own. Most flat isles are supported by only a single article, some by a couple of articles penned by the same author, and only a few represent real activity among a small group of different authors.</w:t>
      </w:r>
    </w:p>
    <w:p>
      <w:pPr>
        <w:pStyle w:val="CaptionedFigure"/>
      </w:pPr>
      <w:r>
        <w:drawing>
          <wp:inline>
            <wp:extent cx="5334000" cy="3429000"/>
            <wp:effectExtent b="0" l="0" r="0" t="0"/>
            <wp:docPr descr="Figure 12 Flat Isles, where Reviewers tend their Flock" title="" id="1" name="Picture"/>
            <a:graphic>
              <a:graphicData uri="http://schemas.openxmlformats.org/drawingml/2006/picture">
                <pic:pic>
                  <pic:nvPicPr>
                    <pic:cNvPr descr="img/flat-isle.png" id="0" name="Picture"/>
                    <pic:cNvPicPr>
                      <a:picLocks noChangeArrowheads="1" noChangeAspect="1"/>
                    </pic:cNvPicPr>
                  </pic:nvPicPr>
                  <pic:blipFill>
                    <a:blip r:embed="rId85"/>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12 Flat Isles, where Reviewers tend their Flock</w:t>
      </w:r>
    </w:p>
    <w:p>
      <w:pPr>
        <w:pStyle w:val="BodyText"/>
      </w:pPr>
      <w:r>
        <w:t xml:space="preserve">The most substantial flat isle</w:t>
      </w:r>
      <w:r>
        <w:t xml:space="preserve"> </w:t>
      </w:r>
      <w:r>
        <w:t xml:space="preserve">, the largest unenclosed and unenclosing circle in Figure</w:t>
      </w:r>
      <w:r>
        <w:t xml:space="preserve"> </w:t>
      </w:r>
      <w:r>
        <w:t xml:space="preserve">12</w:t>
      </w:r>
      <w:r>
        <w:t xml:space="preserve">, comes from four authors publishing in the same 1930</w:t>
      </w:r>
      <w:r>
        <w:t xml:space="preserve"> </w:t>
      </w:r>
      <w:hyperlink r:id="rId86">
        <w:r>
          <w:rPr>
            <w:rStyle w:val="Hyperlink"/>
          </w:rPr>
          <w:t xml:space="preserve">issue</w:t>
        </w:r>
      </w:hyperlink>
      <w:r>
        <w:t xml:space="preserve"> </w:t>
      </w:r>
      <w:r>
        <w:t xml:space="preserve">of</w:t>
      </w:r>
      <w:r>
        <w:t xml:space="preserve"> </w:t>
      </w:r>
      <w:r>
        <w:rPr>
          <w:i/>
        </w:rPr>
        <w:t xml:space="preserve">Zeitschrift Fur Nationalokonomie</w:t>
      </w:r>
      <w:r>
        <w:t xml:space="preserve">. It includes 50 references the most prominent of which are Angell’s 1926</w:t>
      </w:r>
      <w:r>
        <w:t xml:space="preserve"> </w:t>
      </w:r>
      <w:r>
        <w:rPr>
          <w:i/>
        </w:rPr>
        <w:t xml:space="preserve">The Theory of International Prices</w:t>
      </w:r>
      <w:r>
        <w:t xml:space="preserve"> </w:t>
      </w:r>
      <w:r>
        <w:t xml:space="preserve">and Tugwell’s 1924</w:t>
      </w:r>
      <w:r>
        <w:t xml:space="preserve"> </w:t>
      </w:r>
      <w:r>
        <w:rPr>
          <w:i/>
        </w:rPr>
        <w:t xml:space="preserve">The Trends of Economics</w:t>
      </w:r>
      <w:r>
        <w:t xml:space="preserve">. The structure of the group is provided entirely by an article by Robert Reisch</w:t>
      </w:r>
      <w:r>
        <w:t xml:space="preserve"> </w:t>
      </w:r>
      <w:r>
        <w:t xml:space="preserve">; the other three shared no references in common and Reisch’s article, titled</w:t>
      </w:r>
      <w:r>
        <w:t xml:space="preserve"> </w:t>
      </w:r>
      <w:r>
        <w:t xml:space="preserve">“</w:t>
      </w:r>
      <w:r>
        <w:t xml:space="preserve">The</w:t>
      </w:r>
      <w:r>
        <w:t xml:space="preserve"> </w:t>
      </w:r>
      <w:r>
        <w:t xml:space="preserve">‘</w:t>
      </w:r>
      <w:r>
        <w:t xml:space="preserve">Deposit</w:t>
      </w:r>
      <w:r>
        <w:t xml:space="preserve">’</w:t>
      </w:r>
      <w:r>
        <w:t xml:space="preserve">-Myth In Banking Theory</w:t>
      </w:r>
      <w:r>
        <w:t xml:space="preserve">”</w:t>
      </w:r>
      <w:r>
        <w:t xml:space="preserve"> </w:t>
      </w:r>
      <w:r>
        <w:t xml:space="preserve">and containing 108 references, is likely to have been written as an introduction to the journal on the basis of what had already been accepted for publication.</w:t>
      </w:r>
    </w:p>
    <w:p>
      <w:pPr>
        <w:pStyle w:val="BodyText"/>
      </w:pPr>
      <w:r>
        <w:t xml:space="preserve">Another flat isle of four articles has the exact same pattern, also from</w:t>
      </w:r>
      <w:r>
        <w:t xml:space="preserve"> </w:t>
      </w:r>
      <w:r>
        <w:rPr>
          <w:i/>
        </w:rPr>
        <w:t xml:space="preserve">Zeitschrift Fur Nationalokonomie</w:t>
      </w:r>
      <w:r>
        <w:t xml:space="preserve"> </w:t>
      </w:r>
      <w:r>
        <w:t xml:space="preserve">but from an</w:t>
      </w:r>
      <w:r>
        <w:t xml:space="preserve"> </w:t>
      </w:r>
      <w:hyperlink r:id="rId87">
        <w:r>
          <w:rPr>
            <w:rStyle w:val="Hyperlink"/>
          </w:rPr>
          <w:t xml:space="preserve">issue</w:t>
        </w:r>
      </w:hyperlink>
      <w:r>
        <w:t xml:space="preserve"> </w:t>
      </w:r>
      <w:r>
        <w:t xml:space="preserve">in 1937, the article on the first page of the issue, titled</w:t>
      </w:r>
      <w:r>
        <w:t xml:space="preserve"> </w:t>
      </w:r>
      <w:r>
        <w:t xml:space="preserve">“</w:t>
      </w:r>
      <w:r>
        <w:t xml:space="preserve">Theory Of Capital, Introduction</w:t>
      </w:r>
      <w:r>
        <w:t xml:space="preserve">”</w:t>
      </w:r>
      <w:r>
        <w:t xml:space="preserve"> </w:t>
      </w:r>
      <w:r>
        <w:t xml:space="preserve"> </w:t>
      </w:r>
      <w:r>
        <w:t xml:space="preserve">by von Hayek and containing 25 references, includes subsections of the bibliographies of three other articles that do not themselves overlap. Normally the longer a bibliography the more likely it is that an article functions as a review linking other disparate bibliographies. That von Hayek’s article has such a short bibliography and yet still links three otherwise separate articles confirms its derivative character.</w:t>
      </w:r>
    </w:p>
    <w:p>
      <w:pPr>
        <w:pStyle w:val="BodyText"/>
      </w:pPr>
      <w:r>
        <w:t xml:space="preserve">The following features then suggest when a flat isle represents an issue introduction. All articles are published in the same issue. The removal of the longest bibliography in the community yields a network of disconnected components each uniquely representing the remaining bibs. This longest bib is also either the first article in the issue or precedes the others in pagination. These characteristics suggest authorship internal to the editorial process itself. Later we will explore how the removal of such articles helps to reveal</w:t>
      </w:r>
      <w:r>
        <w:t xml:space="preserve"> </w:t>
      </w:r>
      <w:r>
        <w:t xml:space="preserve">“</w:t>
      </w:r>
      <w:r>
        <w:t xml:space="preserve">bottom-up</w:t>
      </w:r>
      <w:r>
        <w:t xml:space="preserve">”</w:t>
      </w:r>
      <w:r>
        <w:t xml:space="preserve"> </w:t>
      </w:r>
      <w:r>
        <w:t xml:space="preserve">structure by removing the editorial advantage of certain authors to bestow an ad hoc intellectual coherence on scholarship.</w:t>
      </w:r>
    </w:p>
    <w:p>
      <w:pPr>
        <w:pStyle w:val="BodyText"/>
      </w:pPr>
      <w:r>
        <w:t xml:space="preserve">Table</w:t>
      </w:r>
      <w:r>
        <w:t xml:space="preserve"> </w:t>
      </w:r>
      <w:r>
        <w:t xml:space="preserve">??</w:t>
      </w:r>
      <w:r>
        <w:t xml:space="preserve"> </w:t>
      </w:r>
      <w:r>
        <w:t xml:space="preserve">enumerates issue introductions and shows how many are the structuring article in their community.</w:t>
      </w:r>
    </w:p>
    <w:p>
      <w:pPr>
        <w:pStyle w:val="CaptionedFigure"/>
      </w:pPr>
      <w:r>
        <w:drawing>
          <wp:inline>
            <wp:extent cx="5334000" cy="3429000"/>
            <wp:effectExtent b="0" l="0" r="0" t="0"/>
            <wp:docPr descr="Figure 13 Hill Isles, where the Wild Things Are" title="" id="1" name="Picture"/>
            <a:graphic>
              <a:graphicData uri="http://schemas.openxmlformats.org/drawingml/2006/picture">
                <pic:pic>
                  <pic:nvPicPr>
                    <pic:cNvPr descr="img/hill-isle.png" id="0" name="Picture"/>
                    <pic:cNvPicPr>
                      <a:picLocks noChangeArrowheads="1" noChangeAspect="1"/>
                    </pic:cNvPicPr>
                  </pic:nvPicPr>
                  <pic:blipFill>
                    <a:blip r:embed="rId88"/>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13 Hill Isles, where the Wild Things Are</w:t>
      </w:r>
    </w:p>
    <w:p>
      <w:pPr>
        <w:pStyle w:val="BodyText"/>
      </w:pPr>
      <w:r>
        <w:t xml:space="preserve">Reviews, whether they are self described as such, borrow directly from the bibliographies of one or more seed articles, and in this way they contribute a disproportionate amount of the global structure of the co-reference network. This kind of review, rather than looking again at an existing intellectual trend, creates the cohesion it purports to describe. Flat isles, especially if they are large, are flat due to the retrospection of a usually solitary reviewer. Compare this to</w:t>
      </w:r>
      <w:r>
        <w:t xml:space="preserve"> </w:t>
      </w:r>
      <w:r>
        <w:t xml:space="preserve">“</w:t>
      </w:r>
      <w:r>
        <w:t xml:space="preserve">hill isles</w:t>
      </w:r>
      <w:r>
        <w:t xml:space="preserve">”</w:t>
      </w:r>
      <w:r>
        <w:t xml:space="preserve"> </w:t>
      </w:r>
      <w:r>
        <w:t xml:space="preserve">with more internal structure growing out of the related but uncoordinated reference activity of authors.</w:t>
      </w:r>
    </w:p>
    <w:p>
      <w:pPr>
        <w:pStyle w:val="CaptionedFigure"/>
      </w:pPr>
      <w:r>
        <w:drawing>
          <wp:inline>
            <wp:extent cx="5334000" cy="4267200"/>
            <wp:effectExtent b="0" l="0" r="0" t="0"/>
            <wp:docPr descr="Figure 14 Hill Isle in Graph Layout" title="" id="1" name="Picture"/>
            <a:graphic>
              <a:graphicData uri="http://schemas.openxmlformats.org/drawingml/2006/picture">
                <pic:pic>
                  <pic:nvPicPr>
                    <pic:cNvPr descr="ambrose_dissertation_files/figure-docx/k3c1-22-1.png" id="0"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Hill Isle in Graph Layout</w:t>
      </w:r>
    </w:p>
    <w:p>
      <w:pPr>
        <w:pStyle w:val="Heading3"/>
      </w:pPr>
      <w:bookmarkStart w:id="90" w:name="peaks"/>
      <w:r>
        <w:t xml:space="preserve">Peaks</w:t>
      </w:r>
      <w:bookmarkEnd w:id="90"/>
    </w:p>
    <w:p>
      <w:pPr>
        <w:pStyle w:val="FirstParagraph"/>
      </w:pPr>
      <w:r>
        <w:t xml:space="preserve">The KCC model reveals</w:t>
      </w:r>
    </w:p>
    <w:p>
      <w:pPr>
        <w:pStyle w:val="Heading3"/>
      </w:pPr>
      <w:bookmarkStart w:id="91" w:name="valleys"/>
      <w:r>
        <w:t xml:space="preserve">Valleys</w:t>
      </w:r>
      <w:bookmarkEnd w:id="91"/>
    </w:p>
    <w:p>
      <w:pPr>
        <w:pStyle w:val="Heading3"/>
      </w:pPr>
      <w:bookmarkStart w:id="92" w:name="X21da6a0927de4cd993063a9db3281001f5ac2e7"/>
      <w:r>
        <w:t xml:space="preserve">Do reference lists describe author knowledge?</w:t>
      </w:r>
      <w:bookmarkEnd w:id="92"/>
    </w:p>
    <w:p>
      <w:pPr>
        <w:pStyle w:val="FirstParagraph"/>
      </w:pPr>
      <w:r>
        <w:t xml:space="preserve">The peer review process can now be thought of as a process of auditing credentials. An author makes an opening bid with the submission of a particular reference list. What this reference list implies about what the author knows is unclear. One may omit a knowledge signal because it is truthfully irrelevent or in a deceptive sin of ommission oriented to what they expect to be the expectations of editors and reviewers. One may also include what they do not know out of error, bragadoccio, carelessness, or fraud. Part of the work of reviewers will be to validate those claims to knowledge.</w:t>
      </w:r>
    </w:p>
    <w:p>
      <w:pPr>
        <w:pStyle w:val="Heading1"/>
      </w:pPr>
      <w:bookmarkStart w:id="93" w:name="voc"/>
      <w:r>
        <w:t xml:space="preserve">Vocabularies of Anthropology and Sociology, 1888-1922</w:t>
      </w:r>
      <w:bookmarkEnd w:id="93"/>
    </w:p>
    <w:p>
      <w:pPr>
        <w:pStyle w:val="Heading4"/>
      </w:pPr>
      <w:bookmarkStart w:id="94" w:name="abstract-3"/>
      <w:r>
        <w:t xml:space="preserve">Abstract</w:t>
      </w:r>
      <w:bookmarkEnd w:id="94"/>
    </w:p>
    <w:p>
      <w:pPr>
        <w:pStyle w:val="FirstParagraph"/>
      </w:pPr>
      <w:r>
        <w:t xml:space="preserve">Knowledge development of journals in sociology and anthropology is measured as the change in topic prevalence over time.</w:t>
      </w:r>
    </w:p>
    <w:p>
      <w:pPr>
        <w:pStyle w:val="Heading4"/>
      </w:pPr>
      <w:bookmarkStart w:id="95" w:name="keywords-3"/>
      <w:r>
        <w:t xml:space="preserve">Keywords</w:t>
      </w:r>
      <w:bookmarkEnd w:id="95"/>
    </w:p>
    <w:p>
      <w:pPr>
        <w:pStyle w:val="FirstParagraph"/>
      </w:pPr>
      <w:r>
        <w:t xml:space="preserve">sociology of knowledge, topic modeling, history of social science</w:t>
      </w:r>
    </w:p>
    <w:p>
      <w:pPr>
        <w:pStyle w:val="Heading2"/>
      </w:pPr>
      <w:bookmarkStart w:id="96" w:name="kd"/>
      <w:r>
        <w:t xml:space="preserve">Knowledge Development</w:t>
      </w:r>
      <w:bookmarkEnd w:id="96"/>
    </w:p>
    <w:p>
      <w:pPr>
        <w:pStyle w:val="FirstParagraph"/>
      </w:pPr>
      <w:r>
        <w:t xml:space="preserve">What were the ideas that predominated in the social sciences at their formation as professions in the postbellum United States? What was the course of their development over a generation of scholarship? In this study I will answer these questions inductively through a reading of the original journals in each discipline. Though the goal is substantive, the methodological challenges of consuming a large quantity of text will feature importantly in the story that unfolds. Along the way I will demonstrate the usefulness of the computational</w:t>
      </w:r>
      <w:r>
        <w:t xml:space="preserve"> </w:t>
      </w:r>
      <w:r>
        <w:rPr>
          <w:i/>
        </w:rPr>
        <w:t xml:space="preserve">distant reading</w:t>
      </w:r>
      <w:r>
        <w:t xml:space="preserve"> </w:t>
      </w:r>
      <w:r>
        <w:t xml:space="preserve">that is being explored in the humanities and how it can be combined with traditional textual analysis for social science purposes. While controversial in humanistic circles that emphasize the primacy of the reader’s novel interpretive work when consuming text, distant reading fits comfortably within a social science epistemology that aims to achieve an objective description of intellectual history Indeed, computational methods offer a useful backstop to the idiosyncrasy of a particular person’s reading of history.</w:t>
      </w:r>
    </w:p>
    <w:p>
      <w:pPr>
        <w:pStyle w:val="BodyText"/>
      </w:pPr>
      <w:r>
        <w:t xml:space="preserve">Computational textual analysis promises to automate a particular slice of what hermeneutic methods accomplish. Hermeneutics claims that through historical methods it is possible to reconstruct the interpretive context of texts such that they can be understood in the same way that contemporary historical actors understood them. Establishing such context is a laudable yet arduous feat of historical research to uncover the social and intellectual milieu of a particular text. This is the gold standard approach, but one that restricts the field to specialists with the training and resources necessary for the undertaking.</w:t>
      </w:r>
    </w:p>
    <w:p>
      <w:pPr>
        <w:pStyle w:val="BodyText"/>
      </w:pPr>
      <w:r>
        <w:t xml:space="preserve">Computers cannot study history in this way. What they can do, however, is mine source material for limited kinds of contexts. The kind I am concerned with below are the</w:t>
      </w:r>
      <w:r>
        <w:t xml:space="preserve"> </w:t>
      </w:r>
      <w:r>
        <w:rPr>
          <w:i/>
        </w:rPr>
        <w:t xml:space="preserve">historical vocabularies</w:t>
      </w:r>
      <w:r>
        <w:t xml:space="preserve"> </w:t>
      </w:r>
      <w:r>
        <w:t xml:space="preserve">that writers used to construct texts in historical time. Vocabularies are glyphs without grammar; they do not mean anything, but nothing meaningful can be said without them in the present or in the past. They are the mediated form of language, and in communicating with each other historical actors leave traces that survive perfectly in time so long as texts themselves survive.</w:t>
      </w:r>
    </w:p>
    <w:p>
      <w:pPr>
        <w:pStyle w:val="BodyText"/>
      </w:pPr>
      <w:r>
        <w:t xml:space="preserve">While computers cannot read meaning in texts, and can barely recognize it, they are almost as good as humans at recognizing the glyphs of texts, and vocabularies are nothing but glyphs. What computers lack in smarts, they make up in speed and memory. The quantitative scale of their recognition makes for a qualitative shift because vocabularies can be enumerated across immense corpora of texts. Immense, at least, by human standards as there are limits to even computer memory and speed. Yet such enumeration of texts into objective historical categories; this is a profound resource for the intellectual historian. That one could begin a reading with such context would be a transformative research tool. Vocabulary enumeration, by which I mean simply the counting and classifying of texts according to the vocabularies they contain, invites a population studies approach to intellectual history. Where sense-making is driven by comparisons, a reader’s arbitrary combination of texts is guaranteed to lead to anachronism. But if we can know that texts are relevant to each other without knowing why, we have done some small amount of hermeneutic work by supplying texts as historically correct context to each other.</w:t>
      </w:r>
    </w:p>
    <w:p>
      <w:pPr>
        <w:pStyle w:val="BodyText"/>
      </w:pPr>
      <w:r>
        <w:t xml:space="preserve">And even going so far as abandoning the project of reading texts in a historically correct way, vocabulary enumeration can still lend objectivity to a novel construction, a productive anachronism, of textual meaning. Because vocabularies, the problems solved by computers, are mathematically, algorithmically, or stochastically determined, they may provide an immutable description of corpora that, like a map, enables individual and collective exploration within a common framework. Such maps may become the parameters of interpretive methods, which we may use to surface and control some of our subjectivity.</w:t>
      </w:r>
    </w:p>
    <w:p>
      <w:pPr>
        <w:pStyle w:val="BodyText"/>
      </w:pPr>
      <w:r>
        <w:t xml:space="preserve">This at least is the rationale for what follows. I begin with a discussion of intellectual history of two social sciences, anthropology and sociology, in the United States. I take a coarse view of national history as the history of wars because of their downstream effects on government activity and institutional investments. The first period is between the end of the American Revolution (1783) and the end of the American Civil War (1865) and is the national context for the origin of U.S. anthropology. The second period is after the Civil War until the end of World War I (1918) and is the context for the origin of U.S. sociology and of modern U.S. higher education generally. Wars of territorial expansion are waged regularly during both periods against native peoples and rival colonial empires, and social research was always recruited to solve attendant problems of population and to provide rationales for the relationships with and understandings of conquered or would-be conquered people.</w:t>
      </w:r>
    </w:p>
    <w:p>
      <w:pPr>
        <w:pStyle w:val="BodyText"/>
      </w:pPr>
      <w:r>
        <w:t xml:space="preserve">I use intellectual histories of anthropology to characterize the antebellum period, and the same for the postbellum period including sociology. The most important journals in each field date from the postbellum period, and the appearance of each is implicated in the project of professionalization for each discipline. The 1920s marked the end of war with the last of the militating American Indian tribes, and a reckoning with the darkest sides of industrialization laid bare by WWI. Social research had by this time completed a shift from colonial to industrial problems and enjoyed a golden decade of development as a profession, punctuated by the next great historical crisis in the Great Depression. With the 1920s begins the adolescence of social research, which is beyond the present scope. This study is of its childhood, which ends with the Great War. I however draw the study out until 1922 because it is the end of the public domain in U.S. copyright, to aid in the reproducibility of the analysis and so that all readers may recover the texts in question without difficulty.</w:t>
      </w:r>
    </w:p>
    <w:p>
      <w:pPr>
        <w:pStyle w:val="Heading2"/>
      </w:pPr>
      <w:bookmarkStart w:id="97" w:name="kd-dq2"/>
      <w:r>
        <w:t xml:space="preserve">Social Science Journals</w:t>
      </w:r>
      <w:bookmarkEnd w:id="97"/>
    </w:p>
    <w:p>
      <w:pPr>
        <w:pStyle w:val="FirstParagraph"/>
      </w:pPr>
      <w:r>
        <w:t xml:space="preserve">The journals within social science cover five different subdisciplines.</w:t>
      </w:r>
    </w:p>
    <w:p>
      <w:pPr>
        <w:pStyle w:val="Compact"/>
      </w:pPr>
      <w:r>
        <w:t xml:space="preserve">(#tab:jclu-tab-sub)</w:t>
      </w:r>
      <w:r>
        <w:t xml:space="preserve">JSTOR Social Sciences Journal Counts</w:t>
      </w:r>
    </w:p>
    <w:p>
      <w:pPr>
        <w:pStyle w:val="Compact"/>
      </w:pPr>
      <w:r>
        <w:t xml:space="preserve">Subdiscipline</w:t>
      </w:r>
    </w:p>
    <w:p>
      <w:pPr>
        <w:pStyle w:val="Compact"/>
      </w:pPr>
      <w:r>
        <w:t xml:space="preserve">N</w:t>
      </w:r>
    </w:p>
    <w:p>
      <w:pPr>
        <w:pStyle w:val="Compact"/>
      </w:pPr>
      <w:r>
        <w:t xml:space="preserve">Pct</w:t>
      </w:r>
    </w:p>
    <w:p>
      <w:pPr>
        <w:pStyle w:val="Compact"/>
      </w:pPr>
      <w:r>
        <w:t xml:space="preserve">Labeled</w:t>
      </w:r>
    </w:p>
    <w:p>
      <w:pPr>
        <w:pStyle w:val="Compact"/>
      </w:pPr>
      <w:r>
        <w:t xml:space="preserve">LPct</w:t>
      </w:r>
    </w:p>
    <w:p>
      <w:pPr>
        <w:pStyle w:val="Compact"/>
      </w:pPr>
      <w:r>
        <w:t xml:space="preserve">Archaeology</w:t>
      </w:r>
    </w:p>
    <w:p>
      <w:pPr>
        <w:pStyle w:val="Compact"/>
      </w:pPr>
      <w:r>
        <w:t xml:space="preserve">256</w:t>
      </w:r>
    </w:p>
    <w:p>
      <w:pPr>
        <w:pStyle w:val="Compact"/>
      </w:pPr>
      <w:r>
        <w:t xml:space="preserve">27.9</w:t>
      </w:r>
    </w:p>
    <w:p>
      <w:pPr>
        <w:pStyle w:val="Compact"/>
      </w:pPr>
      <w:r>
        <w:t xml:space="preserve">115</w:t>
      </w:r>
    </w:p>
    <w:p>
      <w:pPr>
        <w:pStyle w:val="Compact"/>
      </w:pPr>
      <w:r>
        <w:t xml:space="preserve">12.6</w:t>
      </w:r>
    </w:p>
    <w:p>
      <w:pPr>
        <w:pStyle w:val="Compact"/>
      </w:pPr>
      <w:r>
        <w:t xml:space="preserve">Political Science</w:t>
      </w:r>
    </w:p>
    <w:p>
      <w:pPr>
        <w:pStyle w:val="Compact"/>
      </w:pPr>
      <w:r>
        <w:t xml:space="preserve">219</w:t>
      </w:r>
    </w:p>
    <w:p>
      <w:pPr>
        <w:pStyle w:val="Compact"/>
      </w:pPr>
      <w:r>
        <w:t xml:space="preserve">23.9</w:t>
      </w:r>
    </w:p>
    <w:p>
      <w:pPr>
        <w:pStyle w:val="Compact"/>
      </w:pPr>
      <w:r>
        <w:t xml:space="preserve">183</w:t>
      </w:r>
    </w:p>
    <w:p>
      <w:pPr>
        <w:pStyle w:val="Compact"/>
      </w:pPr>
      <w:r>
        <w:t xml:space="preserve">20</w:t>
      </w:r>
    </w:p>
    <w:p>
      <w:pPr>
        <w:pStyle w:val="Compact"/>
      </w:pPr>
      <w:r>
        <w:t xml:space="preserve">Education</w:t>
      </w:r>
    </w:p>
    <w:p>
      <w:pPr>
        <w:pStyle w:val="Compact"/>
      </w:pPr>
      <w:r>
        <w:t xml:space="preserve">192</w:t>
      </w:r>
    </w:p>
    <w:p>
      <w:pPr>
        <w:pStyle w:val="Compact"/>
      </w:pPr>
      <w:r>
        <w:t xml:space="preserve">21</w:t>
      </w:r>
    </w:p>
    <w:p>
      <w:pPr>
        <w:pStyle w:val="Compact"/>
      </w:pPr>
      <w:r>
        <w:t xml:space="preserve">170</w:t>
      </w:r>
    </w:p>
    <w:p>
      <w:pPr>
        <w:pStyle w:val="Compact"/>
      </w:pPr>
      <w:r>
        <w:t xml:space="preserve">18.6</w:t>
      </w:r>
    </w:p>
    <w:p>
      <w:pPr>
        <w:pStyle w:val="Compact"/>
      </w:pPr>
      <w:r>
        <w:t xml:space="preserve">Sociology</w:t>
      </w:r>
    </w:p>
    <w:p>
      <w:pPr>
        <w:pStyle w:val="Compact"/>
      </w:pPr>
      <w:r>
        <w:t xml:space="preserve">160</w:t>
      </w:r>
    </w:p>
    <w:p>
      <w:pPr>
        <w:pStyle w:val="Compact"/>
      </w:pPr>
      <w:r>
        <w:t xml:space="preserve">17.5</w:t>
      </w:r>
    </w:p>
    <w:p>
      <w:pPr>
        <w:pStyle w:val="Compact"/>
      </w:pPr>
      <w:r>
        <w:t xml:space="preserve">145</w:t>
      </w:r>
    </w:p>
    <w:p>
      <w:pPr>
        <w:pStyle w:val="Compact"/>
      </w:pPr>
      <w:r>
        <w:t xml:space="preserve">15.8</w:t>
      </w:r>
    </w:p>
    <w:p>
      <w:pPr>
        <w:pStyle w:val="Compact"/>
      </w:pPr>
      <w:r>
        <w:t xml:space="preserve">Anthropology</w:t>
      </w:r>
    </w:p>
    <w:p>
      <w:pPr>
        <w:pStyle w:val="Compact"/>
      </w:pPr>
      <w:r>
        <w:t xml:space="preserve">46</w:t>
      </w:r>
    </w:p>
    <w:p>
      <w:pPr>
        <w:pStyle w:val="Compact"/>
      </w:pPr>
      <w:r>
        <w:t xml:space="preserve">5</w:t>
      </w:r>
    </w:p>
    <w:p>
      <w:pPr>
        <w:pStyle w:val="Compact"/>
      </w:pPr>
      <w:r>
        <w:t xml:space="preserve">89</w:t>
      </w:r>
    </w:p>
    <w:p>
      <w:pPr>
        <w:pStyle w:val="Compact"/>
      </w:pPr>
      <w:r>
        <w:t xml:space="preserve">9.7</w:t>
      </w:r>
    </w:p>
    <w:p>
      <w:pPr>
        <w:pStyle w:val="Compact"/>
      </w:pPr>
      <w:r>
        <w:t xml:space="preserve">Population Studies</w:t>
      </w:r>
    </w:p>
    <w:p>
      <w:pPr>
        <w:pStyle w:val="Compact"/>
      </w:pPr>
      <w:r>
        <w:t xml:space="preserve">22</w:t>
      </w:r>
    </w:p>
    <w:p>
      <w:pPr>
        <w:pStyle w:val="Compact"/>
      </w:pPr>
      <w:r>
        <w:t xml:space="preserve">2.4</w:t>
      </w:r>
    </w:p>
    <w:p>
      <w:pPr>
        <w:pStyle w:val="Compact"/>
      </w:pPr>
      <w:r>
        <w:t xml:space="preserve">27</w:t>
      </w:r>
    </w:p>
    <w:p>
      <w:pPr>
        <w:pStyle w:val="Compact"/>
      </w:pPr>
      <w:r>
        <w:t xml:space="preserve">2.9</w:t>
      </w:r>
    </w:p>
    <w:p>
      <w:pPr>
        <w:pStyle w:val="Compact"/>
      </w:pPr>
      <w:r>
        <w:t xml:space="preserve">Geography</w:t>
      </w:r>
    </w:p>
    <w:p>
      <w:pPr>
        <w:pStyle w:val="Compact"/>
      </w:pPr>
      <w:r>
        <w:t xml:space="preserve">18</w:t>
      </w:r>
    </w:p>
    <w:p>
      <w:pPr>
        <w:pStyle w:val="Compact"/>
      </w:pPr>
      <w:r>
        <w:t xml:space="preserve">2</w:t>
      </w:r>
    </w:p>
    <w:p>
      <w:pPr>
        <w:pStyle w:val="Compact"/>
      </w:pPr>
      <w:r>
        <w:t xml:space="preserve">32</w:t>
      </w:r>
    </w:p>
    <w:p>
      <w:pPr>
        <w:pStyle w:val="Compact"/>
      </w:pPr>
      <w:r>
        <w:t xml:space="preserve">3.5</w:t>
      </w:r>
    </w:p>
    <w:p>
      <w:pPr>
        <w:pStyle w:val="Compact"/>
      </w:pPr>
      <w:r>
        <w:t xml:space="preserve">Transportation Studies</w:t>
      </w:r>
    </w:p>
    <w:p>
      <w:pPr>
        <w:pStyle w:val="Compact"/>
      </w:pPr>
      <w:r>
        <w:t xml:space="preserve">3</w:t>
      </w:r>
    </w:p>
    <w:p>
      <w:pPr>
        <w:pStyle w:val="Compact"/>
      </w:pPr>
      <w:r>
        <w:t xml:space="preserve">0.3</w:t>
      </w:r>
    </w:p>
    <w:p>
      <w:pPr>
        <w:pStyle w:val="Compact"/>
      </w:pPr>
      <w:r>
        <w:t xml:space="preserve">7</w:t>
      </w:r>
    </w:p>
    <w:p>
      <w:pPr>
        <w:pStyle w:val="Compact"/>
      </w:pPr>
      <w:r>
        <w:t xml:space="preserve">0.8</w:t>
      </w:r>
    </w:p>
    <w:p>
      <w:pPr>
        <w:pStyle w:val="Compact"/>
      </w:pPr>
      <w:r>
        <w:t xml:space="preserve">Total</w:t>
      </w:r>
    </w:p>
    <w:p>
      <w:pPr>
        <w:pStyle w:val="Compact"/>
      </w:pPr>
      <w:r>
        <w:t xml:space="preserve">916</w:t>
      </w:r>
    </w:p>
    <w:p>
      <w:pPr>
        <w:pStyle w:val="Compact"/>
      </w:pPr>
      <w:r>
        <w:t xml:space="preserve">100</w:t>
      </w:r>
    </w:p>
    <w:p>
      <w:pPr>
        <w:pStyle w:val="Compact"/>
      </w:pPr>
      <w:r>
        <w:t xml:space="preserve">768</w:t>
      </w:r>
    </w:p>
    <w:p>
      <w:pPr>
        <w:pStyle w:val="Compact"/>
      </w:pPr>
      <w:r>
        <w:t xml:space="preserve">83.8</w:t>
      </w:r>
    </w:p>
    <w:p>
      <w:pPr>
        <w:pStyle w:val="CaptionedFigure"/>
      </w:pPr>
      <w:r>
        <w:drawing>
          <wp:inline>
            <wp:extent cx="5334000" cy="4267200"/>
            <wp:effectExtent b="0" l="0" r="0" t="0"/>
            <wp:docPr descr="Figure 15 Periods in the Growth of the Number of Social Science Journals in the JSTOR Archive" title="" id="1" name="Picture"/>
            <a:graphic>
              <a:graphicData uri="http://schemas.openxmlformats.org/drawingml/2006/picture">
                <pic:pic>
                  <pic:nvPicPr>
                    <pic:cNvPr descr="ambrose_dissertation_files/figure-docx/jstorm2fig-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Periods in the Growth of the Number of Social Science Journals in the JSTOR Archive</w:t>
      </w:r>
    </w:p>
    <w:p>
      <w:pPr>
        <w:pStyle w:val="CaptionedFigure"/>
      </w:pPr>
      <w:r>
        <w:drawing>
          <wp:inline>
            <wp:extent cx="5334000" cy="4267200"/>
            <wp:effectExtent b="0" l="0" r="0" t="0"/>
            <wp:docPr descr="Figure 16 Decennial growth in number of PhD degrees conferred in the U.S." title="" id="1" name="Picture"/>
            <a:graphic>
              <a:graphicData uri="http://schemas.openxmlformats.org/drawingml/2006/picture">
                <pic:pic>
                  <pic:nvPicPr>
                    <pic:cNvPr descr="ambrose_dissertation_files/figure-docx/nces2phd-1.png" id="0"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16 Decennial growth in number of PhD degrees conferred in the U.S.</w:t>
      </w:r>
    </w:p>
    <w:p>
      <w:pPr>
        <w:pStyle w:val="CaptionedFigure"/>
      </w:pPr>
      <w:r>
        <w:drawing>
          <wp:inline>
            <wp:extent cx="5334000" cy="4267200"/>
            <wp:effectExtent b="0" l="0" r="0" t="0"/>
            <wp:docPr descr="Figure 17 Number of PhDs conferred in the United States per Social Science Journal" title="" id="1" name="Picture"/>
            <a:graphic>
              <a:graphicData uri="http://schemas.openxmlformats.org/drawingml/2006/picture">
                <pic:pic>
                  <pic:nvPicPr>
                    <pic:cNvPr descr="ambrose_dissertation_files/figure-docx/nces/jstorm-1.png" id="0"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17 Number of PhDs conferred in the United States per Social Science Journal</w:t>
      </w:r>
    </w:p>
    <w:p>
      <w:pPr>
        <w:pStyle w:val="BodyText"/>
      </w:pPr>
      <w:r>
        <w:t xml:space="preserve">This period represents one of stable growth, as the size of the field grows with the number of players on it. Between 1888 and 1922 there tended to be about seven new PhDs in the U.S. for every social science journal even as each population grew year over year. These growth patterns begin to diverge around 1920 as a decades long acceleration of personnel begins, relatively slowly between 1920 and 1960 at an average acceleration rate of 22 PhDs per journal per year, and then quite precipitously in the 1960s at an average acceleration rate of 121.</w:t>
      </w:r>
    </w:p>
    <w:p>
      <w:pPr>
        <w:pStyle w:val="Heading2"/>
      </w:pPr>
      <w:bookmarkStart w:id="101" w:name="topics-ideas"/>
      <w:r>
        <w:t xml:space="preserve">Topics ≟ Ideas</w:t>
      </w:r>
      <w:bookmarkEnd w:id="101"/>
    </w:p>
    <w:p>
      <w:pPr>
        <w:pStyle w:val="FirstParagraph"/>
      </w:pPr>
      <w:r>
        <w:t xml:space="preserve">The strategy of the study occurs in four steps.</w:t>
      </w:r>
    </w:p>
    <w:p>
      <w:pPr>
        <w:pStyle w:val="Compact"/>
        <w:numPr>
          <w:numId w:val="1004"/>
          <w:ilvl w:val="0"/>
        </w:numPr>
      </w:pPr>
      <w:r>
        <w:t xml:space="preserve">Sort text into categories of similar vocabulary.</w:t>
      </w:r>
    </w:p>
    <w:p>
      <w:pPr>
        <w:pStyle w:val="Compact"/>
        <w:numPr>
          <w:numId w:val="1004"/>
          <w:ilvl w:val="0"/>
        </w:numPr>
      </w:pPr>
      <w:r>
        <w:t xml:space="preserve">Describe the vocabularies that define category membership.</w:t>
      </w:r>
    </w:p>
    <w:p>
      <w:pPr>
        <w:pStyle w:val="Compact"/>
        <w:numPr>
          <w:numId w:val="1004"/>
          <w:ilvl w:val="0"/>
        </w:numPr>
      </w:pPr>
      <w:r>
        <w:t xml:space="preserve">Describe vocabulary prevalence across time and discipline.</w:t>
      </w:r>
    </w:p>
    <w:p>
      <w:pPr>
        <w:pStyle w:val="Compact"/>
        <w:numPr>
          <w:numId w:val="1004"/>
          <w:ilvl w:val="0"/>
        </w:numPr>
      </w:pPr>
      <w:r>
        <w:t xml:space="preserve">Validate category contents by a traditional qualitative reading of texts.</w:t>
      </w:r>
    </w:p>
    <w:p>
      <w:pPr>
        <w:pStyle w:val="FirstParagraph"/>
      </w:pPr>
      <w:r>
        <w:t xml:space="preserve">I will spend considerable effort on solving the problem presented by step 1, as here everything depends on the computational methods employed. Steps 2 and 3 are straightforward given a successful mathematical model of texts. Step 4 is seldom attempted, and may be the hardest of all, because it is here that machine and human learning must be integrated. If I am successful, if through these steps I may operationalize the notion of cultural meaning or cultural logic as conformity to vocabularies, then I believe a new horizon of intellectual scholarship is possible. If on the other hand I find that machine-learned vocabularies do not correspond to human-learned understandings of the texts drawing on those vocabularies, then the discovery will be negative, that distant reading is not a scientific, historical, or hermeneutic method, but rather a toy at worst and a best new humanistic method of reading texts de novo.</w:t>
      </w:r>
    </w:p>
    <w:p>
      <w:pPr>
        <w:pStyle w:val="BodyText"/>
      </w:pPr>
      <w:r>
        <w:t xml:space="preserve">The mathematical tool I will rely on in step 1 is called topic modeling, which refers to a variety of computational approaches to text data that blur the distinction between qualitative and quantitative analysis. The topic model paints a lexicographic picture of texts, analogous to the demographic picture gained by a civil census survey of cities and towns. To a topic model, texts are merely collections of terms (usually words) that are counted to create the so-called</w:t>
      </w:r>
      <w:r>
        <w:t xml:space="preserve"> </w:t>
      </w:r>
      <w:r>
        <w:t xml:space="preserve">“</w:t>
      </w:r>
      <w:r>
        <w:t xml:space="preserve">bag of words</w:t>
      </w:r>
      <w:r>
        <w:t xml:space="preserve">”</w:t>
      </w:r>
      <w:r>
        <w:t xml:space="preserve"> </w:t>
      </w:r>
      <w:r>
        <w:t xml:space="preserve">description of a text. In the same way that a census reduces communities to counts of the names of people who live in them, topic modeling reduces texts to the frequency of word choices in texts, to their diction or vocabulary. Just as a census of people fails to capture the nuanced interactivity of human settlements found in their culture, politics, and economic activity, the topic model washes away the meanings and intentions behind the words that are enumerated.</w:t>
      </w:r>
    </w:p>
    <w:p>
      <w:pPr>
        <w:pStyle w:val="BodyText"/>
      </w:pPr>
      <w:r>
        <w:t xml:space="preserve">A population census would not be very helpful were it only a count of the names of respondents, and of course the really helpful data derive from the demographic and economic survey attached to the name. Text data do not usually come with such a collection of rich covariates, yet nevertheless topic models promise to discern helpful patterns from counts alone. The trick behind the estimation of a topic model is that it attempts to learn the demographic information (topics) without asking, by merely looking at how the names alone (terms) are distributed across geographies of interest (texts). If it can keep its promise, a topic model applied to census data might recover the cultural patterns latent in the distribution of names. It might, for instance, learn different groupings of names that in turn correspond to markers like age, race, national origin, or gender, so long as membership in those categories was related to geography. It might, for instance, successfully separate a category of Hmong names out from among the names of all people living in St. Paul because the non-Hmong names appeared in other regions where no Hmong names appeared.</w:t>
      </w:r>
    </w:p>
    <w:p>
      <w:pPr>
        <w:pStyle w:val="BodyText"/>
      </w:pPr>
      <w:r>
        <w:t xml:space="preserve">To call the category of names</w:t>
      </w:r>
      <w:r>
        <w:t xml:space="preserve"> </w:t>
      </w:r>
      <w:r>
        <w:t xml:space="preserve">“</w:t>
      </w:r>
      <w:r>
        <w:t xml:space="preserve">Hmong</w:t>
      </w:r>
      <w:r>
        <w:t xml:space="preserve">”</w:t>
      </w:r>
      <w:r>
        <w:t xml:space="preserve"> </w:t>
      </w:r>
      <w:r>
        <w:t xml:space="preserve">requires an interpretation of the model, which by itself is just lists of names. This is the work of step 2, and requires a little bit of shoe leather by trying to make sense of what a list of names refers to. Here reading texts is like a census taker knocking on a door, and a topic model’s latent analysis saves on this effort. Sometimes bringing domain knowledge to bear on the list itself will suggest a category label, but often choosing a small sample of texts as exemplars of the category. Still this requires much less shoe leather than a traditional qualitative analysis in which each text is studied directly. Of course the census is much more informative because it asks about demographic categories directly thereby avoiding the need for a latent analysis. In domains where rich covariates are not yet available or are prohibitively expensive to acquire, latent analysis provides promising clues of patterns that already exist. What is even more interesting, and something that might surprise even census analysts, is when latent categories do not correspond to known survey items. In either event the power of topic modeling for inductive analysis is to reveal structure in how names hang together that was hidden.</w:t>
      </w:r>
    </w:p>
    <w:p>
      <w:pPr>
        <w:pStyle w:val="BodyText"/>
      </w:pPr>
      <w:r>
        <w:t xml:space="preserve">Even without conducting the second labeling step, in step 3 it will already be possible from the output of the model to inspect the distribution of topics across available covariates, especially time. These are the patterns that will help validate the topic models against what is already known about intellectual history. For instance, the power of institutional and generational change may well be apparent in the historical distribution of topics. This step leads naturally into step 4 by suggesting anomalies that can only be explained by a closer look at the texts, the chore that the entire preceding analysis punts on. In step 4 we learn either that our understanding of history was wrong, or that our topic model was wrong, and there may be no method other than one’s judgement to decide.</w:t>
      </w:r>
    </w:p>
    <w:p>
      <w:pPr>
        <w:pStyle w:val="BodyText"/>
      </w:pPr>
      <w:r>
        <w:t xml:space="preserve">In the next section, before we delve into the statistical and computational nuances of topic models, I will spend some time developing a few themes to help organize the blending of quantitative and qualitative methods invited by topic modeling in particular and computational text analysis generally.</w:t>
      </w:r>
    </w:p>
    <w:p>
      <w:pPr>
        <w:pStyle w:val="Heading2"/>
      </w:pPr>
      <w:bookmarkStart w:id="102" w:name="kd-lit"/>
      <w:r>
        <w:t xml:space="preserve">Prior Work</w:t>
      </w:r>
      <w:bookmarkEnd w:id="102"/>
    </w:p>
    <w:p>
      <w:pPr>
        <w:pStyle w:val="Heading2"/>
      </w:pPr>
      <w:bookmarkStart w:id="103" w:name="information"/>
      <w:r>
        <w:t xml:space="preserve">Information</w:t>
      </w:r>
      <w:bookmarkEnd w:id="103"/>
    </w:p>
    <w:p>
      <w:pPr>
        <w:pStyle w:val="FirstParagraph"/>
      </w:pPr>
      <w:r>
        <w:t xml:space="preserve">Understanding differences in the ontological status of the</w:t>
      </w:r>
      <w:r>
        <w:t xml:space="preserve"> </w:t>
      </w:r>
      <w:r>
        <w:t xml:space="preserve">“</w:t>
      </w:r>
      <w:r>
        <w:t xml:space="preserve">topic</w:t>
      </w:r>
      <w:r>
        <w:t xml:space="preserve">”</w:t>
      </w:r>
      <w:r>
        <w:t xml:space="preserve"> </w:t>
      </w:r>
      <w:r>
        <w:t xml:space="preserve">concept is a good way to begin to understand how this method of analysis is used by researchers.</w:t>
      </w:r>
    </w:p>
    <w:p>
      <w:pPr>
        <w:pStyle w:val="BodyText"/>
      </w:pPr>
      <w:r>
        <w:t xml:space="preserve">Analysts have conceptualized the use of topic models in very different ways. Some researchers treat topics as useful for a particular purpose and not as true descriptions of real phenomena. Topics as information enhances the ability to search for relevant documents or statistical trends in otherwise unwieldy corpora as a time-saving alternative to manually reading large collections.</w:t>
      </w:r>
      <w:r>
        <w:t xml:space="preserve"> </w:t>
      </w:r>
      <w:r>
        <w:t xml:space="preserve">(Boyd-Graber, Hu, and Mimno</w:t>
      </w:r>
      <w:r>
        <w:t xml:space="preserve"> </w:t>
      </w:r>
      <w:hyperlink w:anchor="ref-Boyd-Graber2017Applications">
        <w:r>
          <w:rPr>
            <w:rStyle w:val="Hyperlink"/>
          </w:rPr>
          <w:t xml:space="preserve">2017</w:t>
        </w:r>
      </w:hyperlink>
      <w:r>
        <w:t xml:space="preserve">)</w:t>
      </w:r>
      <w:r>
        <w:t xml:space="preserve"> </w:t>
      </w:r>
      <w:r>
        <w:t xml:space="preserve">Empirical problems, used as demonstrations of statistical techniques, have included</w:t>
      </w:r>
    </w:p>
    <w:p>
      <w:pPr>
        <w:pStyle w:val="BodyText"/>
      </w:pPr>
      <w:r>
        <w:t xml:space="preserve">This is the</w:t>
      </w:r>
      <w:r>
        <w:t xml:space="preserve"> </w:t>
      </w:r>
      <w:r>
        <w:t xml:space="preserve">“</w:t>
      </w:r>
      <w:r>
        <w:t xml:space="preserve">needle and haystack</w:t>
      </w:r>
      <w:r>
        <w:t xml:space="preserve">”</w:t>
      </w:r>
      <w:r>
        <w:t xml:space="preserve"> </w:t>
      </w:r>
      <w:r>
        <w:t xml:space="preserve">approach favored by computer and information scientists who tend not to be interested in theoretical intepretations beyond the statistical definitions of topics.</w:t>
      </w:r>
    </w:p>
    <w:p>
      <w:pPr>
        <w:pStyle w:val="Heading2"/>
      </w:pPr>
      <w:bookmarkStart w:id="104" w:name="meaning"/>
      <w:r>
        <w:t xml:space="preserve">Meaning</w:t>
      </w:r>
      <w:bookmarkEnd w:id="104"/>
    </w:p>
    <w:p>
      <w:pPr>
        <w:pStyle w:val="FirstParagraph"/>
      </w:pPr>
      <w:r>
        <w:t xml:space="preserve">Other researchers instead grant topics ontological status, and these can be divided into three types. Most ambitiously, topics may be treated as representing categories of thought. Latent semantic structure</w:t>
      </w:r>
      <w:r>
        <w:t xml:space="preserve"> </w:t>
      </w:r>
      <w:r>
        <w:t xml:space="preserve">latent semantic structure</w:t>
      </w:r>
      <w:r>
        <w:t xml:space="preserve"> </w:t>
      </w:r>
      <w:r>
        <w:t xml:space="preserve">(</w:t>
      </w:r>
      <w:r>
        <w:rPr>
          <w:b/>
        </w:rPr>
        <w:t xml:space="preserve">???</w:t>
      </w:r>
      <w:r>
        <w:t xml:space="preserve">)</w:t>
      </w:r>
    </w:p>
    <w:p>
      <w:pPr>
        <w:pStyle w:val="Heading2"/>
      </w:pPr>
      <w:bookmarkStart w:id="105" w:name="communication"/>
      <w:r>
        <w:t xml:space="preserve">Communication</w:t>
      </w:r>
      <w:bookmarkEnd w:id="105"/>
    </w:p>
    <w:p>
      <w:pPr>
        <w:pStyle w:val="FirstParagraph"/>
      </w:pPr>
      <w:r>
        <w:t xml:space="preserve">representational style</w:t>
      </w:r>
      <w:r>
        <w:t xml:space="preserve"> </w:t>
      </w:r>
      <w:r>
        <w:t xml:space="preserve">(Grimmer</w:t>
      </w:r>
      <w:r>
        <w:t xml:space="preserve"> </w:t>
      </w:r>
      <w:hyperlink w:anchor="ref-Grimmer2016Measuring">
        <w:r>
          <w:rPr>
            <w:rStyle w:val="Hyperlink"/>
          </w:rPr>
          <w:t xml:space="preserve">2016</w:t>
        </w:r>
      </w:hyperlink>
      <w:r>
        <w:t xml:space="preserve">)</w:t>
      </w:r>
      <w:r>
        <w:t xml:space="preserve"> </w:t>
      </w:r>
      <w:r>
        <w:t xml:space="preserve">frame</w:t>
      </w:r>
      <w:r>
        <w:t xml:space="preserve"> </w:t>
      </w:r>
      <w:r>
        <w:t xml:space="preserve">(DiMaggio et al.</w:t>
      </w:r>
      <w:r>
        <w:t xml:space="preserve"> </w:t>
      </w:r>
      <w:hyperlink w:anchor="ref-DiMaggio2013Exploiting">
        <w:r>
          <w:rPr>
            <w:rStyle w:val="Hyperlink"/>
          </w:rPr>
          <w:t xml:space="preserve">2013</w:t>
        </w:r>
      </w:hyperlink>
      <w:r>
        <w:t xml:space="preserve">)</w:t>
      </w:r>
    </w:p>
    <w:p>
      <w:pPr>
        <w:pStyle w:val="Heading2"/>
      </w:pPr>
      <w:bookmarkStart w:id="106" w:name="full-text"/>
      <w:r>
        <w:t xml:space="preserve">Full-Text</w:t>
      </w:r>
      <w:bookmarkEnd w:id="106"/>
    </w:p>
    <w:p>
      <w:pPr>
        <w:pStyle w:val="FirstParagraph"/>
      </w:pPr>
      <w:r>
        <w:t xml:space="preserve">Computational text analysis requires that text corpora be transformed from a human to a machine readable format. Several efforts to digitize paper archives have made historical research designs possible, notably the Google Books project, HathiTrust, and ITHAKA JSTOR archive. Digital storage devices like the portable document format (PDF) have also enabled texts to be represented in both a digital version and as a reasonable facsimile of paper originals. Reasonable, we should say, for most sociological purposes, put not for other historical questions where materiality of culture is important.</w:t>
      </w:r>
      <w:r>
        <w:t xml:space="preserve"> </w:t>
      </w:r>
      <w:r>
        <w:t xml:space="preserve">(Schreibman</w:t>
      </w:r>
      <w:r>
        <w:t xml:space="preserve"> </w:t>
      </w:r>
      <w:hyperlink w:anchor="ref-Schreibman2014NonConsumptive">
        <w:r>
          <w:rPr>
            <w:rStyle w:val="Hyperlink"/>
          </w:rPr>
          <w:t xml:space="preserve">2014</w:t>
        </w:r>
      </w:hyperlink>
      <w:r>
        <w:t xml:space="preserve">:149)</w:t>
      </w:r>
    </w:p>
    <w:p>
      <w:pPr>
        <w:pStyle w:val="BodyText"/>
      </w:pPr>
      <w:r>
        <w:t xml:space="preserve">Digital archives make research into the production of culture difficult, precisely because they misrepresent several aspects of the means of production. Because researchers should be mindful that digitization of texts abstracts some qualities of texts and renders many others invisible. The importance of physical space and material qualities of libraries is illegible when working with digital archives, while the verbal content of texts is highlighted. We must keep in mind that we are not viewing what historical actors saw. Digital texts are almost perfectly fungible, while, variability in historical texts. We are liable, for instance, to underestimate the search costs to locate texts, and the fungibility of texts themselves.</w:t>
      </w:r>
    </w:p>
    <w:p>
      <w:pPr>
        <w:pStyle w:val="BodyText"/>
      </w:pPr>
      <w:r>
        <w:t xml:space="preserve">There are reasons, however, to believe that digital text archives provide not just a useful but an historically valid abstraction from the material texts. If we want to understand how an individual scholar understood a particular text, better to have her personal copy, margin notes and all. Yet how would that scholar have treated the text as a cultural item? She would abstract her own copy to a format credibly held in common, the more aniseptically clean version that we see in digital archives. These are the ghosts of the texts, so to speak, but they are what would be left when all idiosyncracies were removed, the version that one would assume colleagues thought of when declaring that text publically.</w:t>
      </w:r>
    </w:p>
    <w:p>
      <w:pPr>
        <w:pStyle w:val="BodyText"/>
      </w:pPr>
      <w:r>
        <w:t xml:space="preserve">This is by way of saying that the texts I compile below are not the same that were read by the historical actors under consideration. They are the texts that historical actors would assume their contemporaries were reading, that is, the sanitized, fungible, original published form of the text. By getting at these texts, we are getting at the real historical infrastructure for scholarly communication.</w:t>
      </w:r>
    </w:p>
    <w:p>
      <w:pPr>
        <w:pStyle w:val="BodyText"/>
      </w:pPr>
      <w:r>
        <w:t xml:space="preserve">The optical character recognition that computers require in order to store text digitally depends critically on the hard work of creating quality scans of journal archives. JSTOR has done a comendable job of this. Next we will describe what the JSTOR archive has to offer.</w:t>
      </w:r>
    </w:p>
    <w:p>
      <w:pPr>
        <w:pStyle w:val="Heading2"/>
      </w:pPr>
      <w:bookmarkStart w:id="107" w:name="kd-dd"/>
      <w:r>
        <w:t xml:space="preserve">Data</w:t>
      </w:r>
      <w:bookmarkEnd w:id="107"/>
    </w:p>
    <w:p>
      <w:pPr>
        <w:pStyle w:val="FirstParagraph"/>
      </w:pPr>
      <w:r>
        <w:t xml:space="preserve">Every record for every journal was downloaded manually, including front and back matter, articles, and book reviews.</w:t>
      </w:r>
    </w:p>
    <w:p>
      <w:pPr>
        <w:pStyle w:val="Heading2"/>
      </w:pPr>
      <w:bookmarkStart w:id="108" w:name="kd-dp1"/>
      <w:r>
        <w:t xml:space="preserve">Sampling</w:t>
      </w:r>
      <w:bookmarkEnd w:id="108"/>
    </w:p>
    <w:p>
      <w:pPr>
        <w:pStyle w:val="Compact"/>
      </w:pPr>
      <w:r>
        <w:t xml:space="preserve">(#tab:filt)</w:t>
      </w:r>
      <w:r>
        <w:t xml:space="preserve">Filtering due to Data Management</w:t>
      </w:r>
    </w:p>
    <w:p>
      <w:pPr>
        <w:pStyle w:val="Compact"/>
      </w:pPr>
      <w:r>
        <w:t xml:space="preserve">step</w:t>
      </w:r>
    </w:p>
    <w:p>
      <w:pPr>
        <w:pStyle w:val="Compact"/>
      </w:pPr>
      <w:r>
        <w:t xml:space="preserve">doc</w:t>
      </w:r>
    </w:p>
    <w:p>
      <w:pPr>
        <w:pStyle w:val="Compact"/>
      </w:pPr>
      <w:r>
        <w:t xml:space="preserve">pag</w:t>
      </w:r>
    </w:p>
    <w:p>
      <w:pPr>
        <w:pStyle w:val="Compact"/>
      </w:pPr>
      <w:r>
        <w:t xml:space="preserve">par</w:t>
      </w:r>
    </w:p>
    <w:p>
      <w:pPr>
        <w:pStyle w:val="Compact"/>
      </w:pPr>
      <w:r>
        <w:t xml:space="preserve">sen</w:t>
      </w:r>
    </w:p>
    <w:p>
      <w:pPr>
        <w:pStyle w:val="Compact"/>
      </w:pPr>
      <w:r>
        <w:t xml:space="preserve">tok</w:t>
      </w:r>
    </w:p>
    <w:p>
      <w:pPr>
        <w:pStyle w:val="Compact"/>
      </w:pPr>
      <w:r>
        <w:t xml:space="preserve">ter</w:t>
      </w:r>
    </w:p>
    <w:p>
      <w:pPr>
        <w:pStyle w:val="Compact"/>
      </w:pPr>
      <w:r>
        <w:t xml:space="preserve">lem</w:t>
      </w:r>
    </w:p>
    <w:p>
      <w:pPr>
        <w:pStyle w:val="Compact"/>
      </w:pPr>
      <w:r>
        <w:t xml:space="preserve">imported</w:t>
      </w:r>
    </w:p>
    <w:p>
      <w:pPr>
        <w:pStyle w:val="Compact"/>
      </w:pPr>
      <w:r>
        <w:t xml:space="preserve">100</w:t>
      </w:r>
    </w:p>
    <w:p>
      <w:pPr>
        <w:pStyle w:val="Compact"/>
      </w:pPr>
      <w:r>
        <w:t xml:space="preserve">100</w:t>
      </w:r>
    </w:p>
    <w:p>
      <w:pPr>
        <w:pStyle w:val="Compact"/>
      </w:pPr>
      <w:r>
        <w:t xml:space="preserve">100</w:t>
      </w:r>
    </w:p>
    <w:p>
      <w:pPr>
        <w:pStyle w:val="Compact"/>
      </w:pPr>
      <w:r>
        <w:t xml:space="preserve">cleaned</w:t>
      </w:r>
    </w:p>
    <w:p>
      <w:pPr>
        <w:pStyle w:val="Compact"/>
      </w:pPr>
      <w:r>
        <w:t xml:space="preserve">99.27</w:t>
      </w:r>
    </w:p>
    <w:p>
      <w:pPr>
        <w:pStyle w:val="Compact"/>
      </w:pPr>
      <w:r>
        <w:t xml:space="preserve">98.21</w:t>
      </w:r>
    </w:p>
    <w:p>
      <w:pPr>
        <w:pStyle w:val="Compact"/>
      </w:pPr>
      <w:r>
        <w:t xml:space="preserve">67.51</w:t>
      </w:r>
    </w:p>
    <w:p>
      <w:pPr>
        <w:pStyle w:val="Compact"/>
      </w:pPr>
      <w:r>
        <w:t xml:space="preserve">tokenized</w:t>
      </w:r>
    </w:p>
    <w:p>
      <w:pPr>
        <w:pStyle w:val="Compact"/>
      </w:pPr>
      <w:r>
        <w:t xml:space="preserve">99.27</w:t>
      </w:r>
    </w:p>
    <w:p>
      <w:pPr>
        <w:pStyle w:val="Compact"/>
      </w:pPr>
      <w:r>
        <w:t xml:space="preserve">98.21</w:t>
      </w:r>
    </w:p>
    <w:p>
      <w:pPr>
        <w:pStyle w:val="Compact"/>
      </w:pPr>
      <w:r>
        <w:t xml:space="preserve">67.51</w:t>
      </w:r>
    </w:p>
    <w:p>
      <w:pPr>
        <w:pStyle w:val="Compact"/>
      </w:pPr>
      <w:r>
        <w:t xml:space="preserve">100</w:t>
      </w:r>
    </w:p>
    <w:p>
      <w:pPr>
        <w:pStyle w:val="Compact"/>
      </w:pPr>
      <w:r>
        <w:t xml:space="preserve">100</w:t>
      </w:r>
    </w:p>
    <w:p>
      <w:pPr>
        <w:pStyle w:val="Compact"/>
      </w:pPr>
      <w:r>
        <w:t xml:space="preserve">100</w:t>
      </w:r>
    </w:p>
    <w:p>
      <w:pPr>
        <w:pStyle w:val="Compact"/>
      </w:pPr>
      <w:r>
        <w:t xml:space="preserve">preprocessed</w:t>
      </w:r>
    </w:p>
    <w:p>
      <w:pPr>
        <w:pStyle w:val="Compact"/>
      </w:pPr>
      <w:r>
        <w:t xml:space="preserve">99.27</w:t>
      </w:r>
    </w:p>
    <w:p>
      <w:pPr>
        <w:pStyle w:val="Compact"/>
      </w:pPr>
      <w:r>
        <w:t xml:space="preserve">98.01</w:t>
      </w:r>
    </w:p>
    <w:p>
      <w:pPr>
        <w:pStyle w:val="Compact"/>
      </w:pPr>
      <w:r>
        <w:t xml:space="preserve">67.35</w:t>
      </w:r>
    </w:p>
    <w:p>
      <w:pPr>
        <w:pStyle w:val="Compact"/>
      </w:pPr>
      <w:r>
        <w:t xml:space="preserve">91.38</w:t>
      </w:r>
    </w:p>
    <w:p>
      <w:pPr>
        <w:pStyle w:val="Compact"/>
      </w:pPr>
      <w:r>
        <w:t xml:space="preserve">42.21</w:t>
      </w:r>
    </w:p>
    <w:p>
      <w:pPr>
        <w:pStyle w:val="Compact"/>
      </w:pPr>
      <w:r>
        <w:t xml:space="preserve">35.74</w:t>
      </w:r>
    </w:p>
    <w:p>
      <w:pPr>
        <w:pStyle w:val="Compact"/>
      </w:pPr>
      <w:r>
        <w:t xml:space="preserve">100</w:t>
      </w:r>
    </w:p>
    <w:p>
      <w:pPr>
        <w:pStyle w:val="Compact"/>
      </w:pPr>
      <w:r>
        <w:t xml:space="preserve">sampled</w:t>
      </w:r>
    </w:p>
    <w:p>
      <w:pPr>
        <w:pStyle w:val="Compact"/>
      </w:pPr>
      <w:r>
        <w:t xml:space="preserve">1.84</w:t>
      </w:r>
    </w:p>
    <w:p>
      <w:pPr>
        <w:pStyle w:val="Compact"/>
      </w:pPr>
      <w:r>
        <w:t xml:space="preserve">1.56</w:t>
      </w:r>
    </w:p>
    <w:p>
      <w:pPr>
        <w:pStyle w:val="Compact"/>
      </w:pPr>
      <w:r>
        <w:t xml:space="preserve">1.17</w:t>
      </w:r>
    </w:p>
    <w:p>
      <w:pPr>
        <w:pStyle w:val="Compact"/>
      </w:pPr>
      <w:r>
        <w:t xml:space="preserve">1.43</w:t>
      </w:r>
    </w:p>
    <w:p>
      <w:pPr>
        <w:pStyle w:val="Compact"/>
      </w:pPr>
      <w:r>
        <w:t xml:space="preserve">0.62</w:t>
      </w:r>
    </w:p>
    <w:p>
      <w:pPr>
        <w:pStyle w:val="Compact"/>
      </w:pPr>
      <w:r>
        <w:t xml:space="preserve">4.95</w:t>
      </w:r>
    </w:p>
    <w:p>
      <w:pPr>
        <w:pStyle w:val="Compact"/>
      </w:pPr>
      <w:r>
        <w:t xml:space="preserve">20.86</w:t>
      </w:r>
    </w:p>
    <w:p>
      <w:pPr>
        <w:pStyle w:val="Compact"/>
      </w:pPr>
      <w:r>
        <w:t xml:space="preserve">100%</w:t>
      </w:r>
    </w:p>
    <w:p>
      <w:pPr>
        <w:pStyle w:val="Compact"/>
      </w:pPr>
      <w:r>
        <w:t xml:space="preserve">5444</w:t>
      </w:r>
    </w:p>
    <w:p>
      <w:pPr>
        <w:pStyle w:val="Compact"/>
      </w:pPr>
      <w:r>
        <w:t xml:space="preserve">47596</w:t>
      </w:r>
    </w:p>
    <w:p>
      <w:pPr>
        <w:pStyle w:val="Compact"/>
      </w:pPr>
      <w:r>
        <w:t xml:space="preserve">232085</w:t>
      </w:r>
    </w:p>
    <w:p>
      <w:pPr>
        <w:pStyle w:val="Compact"/>
      </w:pPr>
      <w:r>
        <w:t xml:space="preserve">818183</w:t>
      </w:r>
    </w:p>
    <w:p>
      <w:pPr>
        <w:pStyle w:val="Compact"/>
      </w:pPr>
      <w:r>
        <w:t xml:space="preserve">19983852</w:t>
      </w:r>
    </w:p>
    <w:p>
      <w:pPr>
        <w:pStyle w:val="Compact"/>
      </w:pPr>
      <w:r>
        <w:t xml:space="preserve">326889</w:t>
      </w:r>
    </w:p>
    <w:p>
      <w:pPr>
        <w:pStyle w:val="Compact"/>
      </w:pPr>
      <w:r>
        <w:t xml:space="preserve">31963</w:t>
      </w:r>
    </w:p>
    <w:p>
      <w:pPr>
        <w:pStyle w:val="Heading2"/>
      </w:pPr>
      <w:bookmarkStart w:id="109" w:name="units-of-analysis"/>
      <w:r>
        <w:t xml:space="preserve">Units of Analysis</w:t>
      </w:r>
      <w:bookmarkEnd w:id="109"/>
    </w:p>
    <w:p>
      <w:pPr>
        <w:pStyle w:val="FirstParagraph"/>
      </w:pPr>
      <w:r>
        <w:t xml:space="preserve">Conventionally researchers feed entire documents into the construction of term frequencies. This method treats any term in a document as being related to any other term by the same degree. The goal of any topic mixture model algorithm is to sift these terms into different topic categories basically by looking for clues across documents; a topic can be</w:t>
      </w:r>
      <w:r>
        <w:t xml:space="preserve"> </w:t>
      </w:r>
      <w:r>
        <w:t xml:space="preserve">“</w:t>
      </w:r>
      <w:r>
        <w:t xml:space="preserve">seen</w:t>
      </w:r>
      <w:r>
        <w:t xml:space="preserve">”</w:t>
      </w:r>
      <w:r>
        <w:t xml:space="preserve"> </w:t>
      </w:r>
      <w:r>
        <w:t xml:space="preserve">in a particular document to the extent that other documents include that topic and</w:t>
      </w:r>
      <w:r>
        <w:t xml:space="preserve"> </w:t>
      </w:r>
      <w:r>
        <w:rPr>
          <w:i/>
        </w:rPr>
        <w:t xml:space="preserve">other</w:t>
      </w:r>
      <w:r>
        <w:t xml:space="preserve"> </w:t>
      </w:r>
      <w:r>
        <w:t xml:space="preserve">topics different from the focal article, so that the intersection of terms reveals the topic. But a much simpler assumption to reduce the attendant noise within a document is to merely feed lower level syntactic structures–paragraphs and sentences–to the algorithm. We will see that doing so greatly improves the usefulness of discovered topics.</w:t>
      </w:r>
    </w:p>
    <w:p>
      <w:pPr>
        <w:pStyle w:val="BodyText"/>
      </w:pPr>
      <w:r>
        <w:t xml:space="preserve">The irony of this approach is that while topics become more clear as documents become shorter, the assignment of any particular shorter document to a topic is murkier due to the smaller word count.</w:t>
      </w:r>
    </w:p>
    <w:p>
      <w:pPr>
        <w:pStyle w:val="BodyText"/>
      </w:pPr>
      <w:r>
        <w:t xml:space="preserve">Long documents will contribute more text to the corpus, but this is fair as they make up more of the population of text. Thus a simple random sample will allow better descriptive statistics. I sampled at the paragraph level because.</w:t>
      </w:r>
    </w:p>
    <w:p>
      <w:pPr>
        <w:pStyle w:val="Heading2"/>
      </w:pPr>
      <w:bookmarkStart w:id="110" w:name="kd-dp2"/>
      <w:r>
        <w:t xml:space="preserve">Topics</w:t>
      </w:r>
      <w:bookmarkEnd w:id="110"/>
    </w:p>
    <w:p>
      <w:pPr>
        <w:pStyle w:val="FirstParagraph"/>
      </w:pPr>
      <w:r>
        <w:t xml:space="preserve">The modeling objective is twofold, to sort text into categories of similarity, and to describe the qualitative content that defines the category membership. In this way we may operationalize the notion of cultural meaning or cultural logic as the rules of category classification. reduce expressions as instances of a latent category of expression.</w:t>
      </w:r>
    </w:p>
    <w:p>
      <w:pPr>
        <w:pStyle w:val="Heading3"/>
      </w:pPr>
      <w:bookmarkStart w:id="111" w:name="how-many-topics"/>
      <w:r>
        <w:t xml:space="preserve">How many topics?</w:t>
      </w:r>
      <w:bookmarkEnd w:id="111"/>
    </w:p>
    <w:p>
      <w:pPr>
        <w:pStyle w:val="CaptionedFigure"/>
      </w:pPr>
      <w:r>
        <w:drawing>
          <wp:inline>
            <wp:extent cx="4620126" cy="3696101"/>
            <wp:effectExtent b="0" l="0" r="0" t="0"/>
            <wp:docPr descr="Figure 18 Distribution of K by convex hull" title="" id="1" name="Picture"/>
            <a:graphic>
              <a:graphicData uri="http://schemas.openxmlformats.org/drawingml/2006/picture">
                <pic:pic>
                  <pic:nvPicPr>
                    <pic:cNvPr descr="ambrose_dissertation_files/figure-docx/sim-fig-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18 Distribution of K by convex hull</w:t>
      </w:r>
    </w:p>
    <w:p>
      <w:pPr>
        <w:pStyle w:val="Compact"/>
      </w:pPr>
      <w:r>
        <w:t xml:space="preserve">(#tab:mlk2k)</w:t>
      </w:r>
      <w:r>
        <w:t xml:space="preserve">Kurtosis Permutation Test</w:t>
      </w:r>
    </w:p>
    <w:p>
      <w:pPr>
        <w:pStyle w:val="Compact"/>
      </w:pPr>
      <w:r>
        <w:t xml:space="preserve">level</w:t>
      </w:r>
    </w:p>
    <w:p>
      <w:pPr>
        <w:pStyle w:val="Compact"/>
      </w:pPr>
      <w:r>
        <w:t xml:space="preserve">e</w:t>
      </w:r>
    </w:p>
    <w:p>
      <w:pPr>
        <w:pStyle w:val="Compact"/>
      </w:pPr>
      <w:r>
        <w:t xml:space="preserve">se</w:t>
      </w:r>
    </w:p>
    <w:p>
      <w:pPr>
        <w:pStyle w:val="Compact"/>
      </w:pPr>
      <w:r>
        <w:t xml:space="preserve">l99</w:t>
      </w:r>
    </w:p>
    <w:p>
      <w:pPr>
        <w:pStyle w:val="Compact"/>
      </w:pPr>
      <w:r>
        <w:t xml:space="preserve">u99</w:t>
      </w:r>
    </w:p>
    <w:p>
      <w:pPr>
        <w:pStyle w:val="Compact"/>
      </w:pPr>
      <w:r>
        <w:t xml:space="preserve">P(e ≦ 0)</w:t>
      </w:r>
    </w:p>
    <w:p>
      <w:pPr>
        <w:pStyle w:val="Compact"/>
      </w:pPr>
      <w:r>
        <w:t xml:space="preserve">doc</w:t>
      </w:r>
    </w:p>
    <w:p>
      <w:pPr>
        <w:pStyle w:val="Compact"/>
      </w:pPr>
      <w:r>
        <w:t xml:space="preserve">-0.0932</w:t>
      </w:r>
    </w:p>
    <w:p>
      <w:pPr>
        <w:pStyle w:val="Compact"/>
      </w:pPr>
      <w:r>
        <w:t xml:space="preserve">0.1149</w:t>
      </w:r>
    </w:p>
    <w:p>
      <w:pPr>
        <w:pStyle w:val="Compact"/>
      </w:pPr>
      <w:r>
        <w:t xml:space="preserve">-0.3682</w:t>
      </w:r>
    </w:p>
    <w:p>
      <w:pPr>
        <w:pStyle w:val="Compact"/>
      </w:pPr>
      <w:r>
        <w:t xml:space="preserve">0.2252</w:t>
      </w:r>
    </w:p>
    <w:p>
      <w:pPr>
        <w:pStyle w:val="Compact"/>
      </w:pPr>
      <w:r>
        <w:t xml:space="preserve">0.7948</w:t>
      </w:r>
    </w:p>
    <w:p>
      <w:pPr>
        <w:pStyle w:val="Compact"/>
      </w:pPr>
      <w:r>
        <w:t xml:space="preserve">par</w:t>
      </w:r>
    </w:p>
    <w:p>
      <w:pPr>
        <w:pStyle w:val="Compact"/>
      </w:pPr>
      <w:r>
        <w:t xml:space="preserve">-0.1125</w:t>
      </w:r>
    </w:p>
    <w:p>
      <w:pPr>
        <w:pStyle w:val="Compact"/>
      </w:pPr>
      <w:r>
        <w:t xml:space="preserve">0.1206</w:t>
      </w:r>
    </w:p>
    <w:p>
      <w:pPr>
        <w:pStyle w:val="Compact"/>
      </w:pPr>
      <w:r>
        <w:t xml:space="preserve">-0.3999</w:t>
      </w:r>
    </w:p>
    <w:p>
      <w:pPr>
        <w:pStyle w:val="Compact"/>
      </w:pPr>
      <w:r>
        <w:t xml:space="preserve">0.2185</w:t>
      </w:r>
    </w:p>
    <w:p>
      <w:pPr>
        <w:pStyle w:val="Compact"/>
      </w:pPr>
      <w:r>
        <w:t xml:space="preserve">0.8257</w:t>
      </w:r>
    </w:p>
    <w:p>
      <w:pPr>
        <w:pStyle w:val="Compact"/>
      </w:pPr>
      <w:r>
        <w:t xml:space="preserve">sen</w:t>
      </w:r>
    </w:p>
    <w:p>
      <w:pPr>
        <w:pStyle w:val="Compact"/>
      </w:pPr>
      <w:r>
        <w:t xml:space="preserve">0.0118</w:t>
      </w:r>
    </w:p>
    <w:p>
      <w:pPr>
        <w:pStyle w:val="Compact"/>
      </w:pPr>
      <w:r>
        <w:t xml:space="preserve">0.2304</w:t>
      </w:r>
    </w:p>
    <w:p>
      <w:pPr>
        <w:pStyle w:val="Compact"/>
      </w:pPr>
      <w:r>
        <w:t xml:space="preserve">-0.5078</w:t>
      </w:r>
    </w:p>
    <w:p>
      <w:pPr>
        <w:pStyle w:val="Compact"/>
      </w:pPr>
      <w:r>
        <w:t xml:space="preserve">0.6471</w:t>
      </w:r>
    </w:p>
    <w:p>
      <w:pPr>
        <w:pStyle w:val="Compact"/>
      </w:pPr>
      <w:r>
        <w:t xml:space="preserve">0.4973</w:t>
      </w:r>
    </w:p>
    <w:p>
      <w:pPr>
        <w:pStyle w:val="CaptionedFigure"/>
      </w:pPr>
      <w:r>
        <w:drawing>
          <wp:inline>
            <wp:extent cx="4620126" cy="3696101"/>
            <wp:effectExtent b="0" l="0" r="0" t="0"/>
            <wp:docPr descr="Figure 19 Significant Counts of K" title="" id="1" name="Picture"/>
            <a:graphic>
              <a:graphicData uri="http://schemas.openxmlformats.org/drawingml/2006/picture">
                <pic:pic>
                  <pic:nvPicPr>
                    <pic:cNvPr descr="ambrose_dissertation_files/figure-docx/mlk-tab-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19 Significant Counts of K</w:t>
      </w:r>
    </w:p>
    <w:p>
      <w:pPr>
        <w:pStyle w:val="Heading2"/>
      </w:pPr>
      <w:bookmarkStart w:id="114" w:name="model-selection"/>
      <w:r>
        <w:t xml:space="preserve">Model selection</w:t>
      </w:r>
      <w:bookmarkEnd w:id="114"/>
    </w:p>
    <w:p>
      <w:pPr>
        <w:pStyle w:val="Heading1"/>
      </w:pPr>
      <w:bookmarkStart w:id="115" w:name="ten"/>
      <w:r>
        <w:t xml:space="preserve">The Development of Intensive Referencing</w:t>
      </w:r>
      <w:bookmarkEnd w:id="115"/>
    </w:p>
    <w:p>
      <w:pPr>
        <w:pStyle w:val="Heading4"/>
      </w:pPr>
      <w:bookmarkStart w:id="116" w:name="abstract-4"/>
      <w:r>
        <w:t xml:space="preserve">Abstract</w:t>
      </w:r>
      <w:bookmarkEnd w:id="116"/>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Heading4"/>
      </w:pPr>
      <w:bookmarkStart w:id="117" w:name="keywords-4"/>
      <w:r>
        <w:t xml:space="preserve">Keywords</w:t>
      </w:r>
      <w:bookmarkEnd w:id="117"/>
    </w:p>
    <w:p>
      <w:pPr>
        <w:pStyle w:val="FirstParagraph"/>
      </w:pPr>
      <w:r>
        <w:t xml:space="preserve">poisson, permutation test, historical development, citation, bibliometry, history of social science</w:t>
      </w:r>
    </w:p>
    <w:p>
      <w:pPr>
        <w:pStyle w:val="BodyText"/>
      </w:pPr>
      <w:r>
        <w:t xml:space="preserve">##intro</w:t>
      </w:r>
    </w:p>
    <w:p>
      <w:pPr>
        <w:pStyle w:val="BodyText"/>
      </w:pPr>
      <w:r>
        <w:t xml:space="preserve">The citation network of scholarship is a critical analytical tool in bibliometry; indeed the field was revolutionized by the advent of citation indexing.</w:t>
      </w:r>
      <w:r>
        <w:t xml:space="preserve"> </w:t>
      </w:r>
      <w:r>
        <w:t xml:space="preserve">Nonetheless the concept has alternately been treated as an analytical device and as a characterization of the phenomenon, what I will call an ontology. These are very different approaches to citation networks. As analytical device, citation networks are instruments by which the researcher uncovers features of scholarship that were not visible without application of the network. For instance, a citation network may reveal a cluster indicating the presence of an invisible college. The invisible college is not itself a citation network; perhaps it is research partnership may be a local phenomenon explained by facts on the ground that have little to do with citations. When treated as an ontology, the researcher reifies the citation network as the real phenomenon; the network tends to explain itself. An article, in making a citation, creates a conduit allowing knowledge or influence to flow into it. It is via the citation that knowledge happens.</w:t>
      </w:r>
      <w:r>
        <w:t xml:space="preserve"> </w:t>
      </w:r>
      <w:r>
        <w:t xml:space="preserve">The ontology may depend on how the citation network is constructed. In a knowledge flow network, citations are directed links, and sending and receiving articles have equal status as nodes. In a co-reference network, citations are nodes, and articles are links among those citations appearing in the articles’ bibliographies. Because such a network is undirected there can be no ontology of knowledge flow.</w:t>
      </w:r>
      <w:r>
        <w:t xml:space="preserve"> </w:t>
      </w:r>
      <w:r>
        <w:t xml:space="preserve">The citation network, however, is an historical development that privileges the professional aspect of the university.</w:t>
      </w:r>
      <w:r>
        <w:t xml:space="preserve"> </w:t>
      </w:r>
      <w:r>
        <w:t xml:space="preserve">The citation network allows national and international relations to dominate local ones. It allows publication to dominate all other venues of intellectual production.</w:t>
      </w:r>
    </w:p>
    <w:p>
      <w:pPr>
        <w:pStyle w:val="Heading2"/>
      </w:pPr>
      <w:bookmarkStart w:id="118" w:name="method-1"/>
      <w:r>
        <w:t xml:space="preserve">method</w:t>
      </w:r>
      <w:bookmarkEnd w:id="118"/>
    </w:p>
    <w:p>
      <w:pPr>
        <w:pStyle w:val="FirstParagraph"/>
      </w:pPr>
      <w:r>
        <w:t xml:space="preserve">For every year, find distribution of bibliography size.</w:t>
      </w:r>
      <w:r>
        <w:t xml:space="preserve"> </w:t>
      </w:r>
      <w:r>
        <w:t xml:space="preserve">We will draw from this to show the effect of variation in bibliography lengths. We may already surmise that extreme values will create some instability.</w:t>
      </w:r>
    </w:p>
    <w:p>
      <w:pPr>
        <w:pStyle w:val="BodyText"/>
      </w:pPr>
      <w:r>
        <w:t xml:space="preserve">For every year, find edge weight distribution, including zeroes.</w:t>
      </w:r>
    </w:p>
    <w:p>
      <w:pPr>
        <w:pStyle w:val="BodyText"/>
      </w:pPr>
      <w:r>
        <w:t xml:space="preserve">Find size of total</w:t>
      </w:r>
      <w:r>
        <w:t xml:space="preserve"> </w:t>
      </w:r>
      <w:r>
        <w:t xml:space="preserve">“</w:t>
      </w:r>
      <w:r>
        <w:t xml:space="preserve">space</w:t>
      </w:r>
      <w:r>
        <w:t xml:space="preserve">”</w:t>
      </w:r>
      <w:r>
        <w:t xml:space="preserve"> </w:t>
      </w:r>
      <w:r>
        <w:t xml:space="preserve">in which edes might be laid down. Find total number of co-citations.</w:t>
      </w:r>
    </w:p>
    <w:p>
      <w:pPr>
        <w:pStyle w:val="BodyText"/>
      </w:pPr>
      <w:r>
        <w:t xml:space="preserve">Simulate simple poisson in that space.</w:t>
      </w:r>
    </w:p>
    <w:p>
      <w:pPr>
        <w:pStyle w:val="BodyText"/>
      </w:pPr>
      <w:r>
        <w:t xml:space="preserve">Compare to simulation of actually bibliographies in that space.</w:t>
      </w:r>
    </w:p>
    <w:p>
      <w:pPr>
        <w:pStyle w:val="BodyText"/>
      </w:pPr>
      <w:r>
        <w:t xml:space="preserve">Test hypothesis that there is a move from extensive to intensive development.</w:t>
      </w:r>
    </w:p>
    <w:p>
      <w:pPr>
        <w:pStyle w:val="Heading2"/>
      </w:pPr>
      <w:bookmarkStart w:id="119" w:name="lit-review"/>
      <w:r>
        <w:t xml:space="preserve">lit review</w:t>
      </w:r>
      <w:bookmarkEnd w:id="119"/>
    </w:p>
    <w:bookmarkStart w:id="146" w:name="refs"/>
    <w:bookmarkStart w:id="120" w:name="ref-Beer2013Genre"/>
    <w:p>
      <w:pPr>
        <w:pStyle w:val="Bibliography"/>
      </w:pPr>
      <w:r>
        <w:t xml:space="preserve">Beer, David. 2013. “Genre, Boundary Drawing and the Classificatory Imagination.”</w:t>
      </w:r>
      <w:r>
        <w:t xml:space="preserve"> </w:t>
      </w:r>
      <w:r>
        <w:rPr>
          <w:i/>
        </w:rPr>
        <w:t xml:space="preserve">Cultural Sociology</w:t>
      </w:r>
      <w:r>
        <w:t xml:space="preserve"> </w:t>
      </w:r>
      <w:r>
        <w:t xml:space="preserve">7(2):145–60.</w:t>
      </w:r>
    </w:p>
    <w:bookmarkEnd w:id="120"/>
    <w:bookmarkStart w:id="121" w:name="ref-Blondel2008Fast"/>
    <w:p>
      <w:pPr>
        <w:pStyle w:val="Bibliography"/>
      </w:pPr>
      <w:r>
        <w:t xml:space="preserve">Blondel, Vincent D., Jean-Loup Guillaume, Renaud Lambiotte, and Etienne Lefebvre. 2008. “Fast Unfolding of Communities in Large Networks.”</w:t>
      </w:r>
    </w:p>
    <w:bookmarkEnd w:id="121"/>
    <w:bookmarkStart w:id="122" w:name="ref-Boulding1956General"/>
    <w:p>
      <w:pPr>
        <w:pStyle w:val="Bibliography"/>
      </w:pPr>
      <w:r>
        <w:t xml:space="preserve">Boulding, Kenneth E. 1956. “General Systems Theory-the Skeleton of Science.”</w:t>
      </w:r>
      <w:r>
        <w:t xml:space="preserve"> </w:t>
      </w:r>
      <w:r>
        <w:rPr>
          <w:i/>
        </w:rPr>
        <w:t xml:space="preserve">Management Science</w:t>
      </w:r>
      <w:r>
        <w:t xml:space="preserve"> </w:t>
      </w:r>
      <w:r>
        <w:t xml:space="preserve">2(3):197–208.</w:t>
      </w:r>
    </w:p>
    <w:bookmarkEnd w:id="122"/>
    <w:bookmarkStart w:id="123" w:name="ref-Boyd-Graber2017Applications"/>
    <w:p>
      <w:pPr>
        <w:pStyle w:val="Bibliography"/>
      </w:pPr>
      <w:r>
        <w:t xml:space="preserve">Boyd-Graber, Jordan, Yuening Hu, and David Mimno. 2017. “Applications of Topic Models.”</w:t>
      </w:r>
      <w:r>
        <w:t xml:space="preserve"> </w:t>
      </w:r>
      <w:r>
        <w:rPr>
          <w:i/>
        </w:rPr>
        <w:t xml:space="preserve">Foundations and Trends® in Information Retrieval</w:t>
      </w:r>
      <w:r>
        <w:t xml:space="preserve"> </w:t>
      </w:r>
      <w:r>
        <w:t xml:space="preserve">11(2-3):143–296.</w:t>
      </w:r>
    </w:p>
    <w:bookmarkEnd w:id="123"/>
    <w:bookmarkStart w:id="124" w:name="ref-Chen2012Parametric"/>
    <w:p>
      <w:pPr>
        <w:pStyle w:val="Bibliography"/>
      </w:pPr>
      <w:r>
        <w:t xml:space="preserve">Chen, Jie and Arjun K. Gupta. 2012.</w:t>
      </w:r>
      <w:r>
        <w:t xml:space="preserve"> </w:t>
      </w:r>
      <w:r>
        <w:rPr>
          <w:i/>
        </w:rPr>
        <w:t xml:space="preserve">Parametric Statistical Change Point Analysis: With Applications to Genetics, Medicine, and Finance</w:t>
      </w:r>
      <w:r>
        <w:t xml:space="preserve">. 2nd ed. Birkhäuser Basel.</w:t>
      </w:r>
    </w:p>
    <w:bookmarkEnd w:id="124"/>
    <w:bookmarkStart w:id="125" w:name="ref-DiMaggio1987Classification"/>
    <w:p>
      <w:pPr>
        <w:pStyle w:val="Bibliography"/>
      </w:pPr>
      <w:r>
        <w:t xml:space="preserve">DiMaggio, Paul. 1987. “Classification in Art.”</w:t>
      </w:r>
      <w:r>
        <w:t xml:space="preserve"> </w:t>
      </w:r>
      <w:r>
        <w:rPr>
          <w:i/>
        </w:rPr>
        <w:t xml:space="preserve">American Sociological Review</w:t>
      </w:r>
      <w:r>
        <w:t xml:space="preserve"> </w:t>
      </w:r>
      <w:r>
        <w:t xml:space="preserve">52(4):440–55.</w:t>
      </w:r>
    </w:p>
    <w:bookmarkEnd w:id="125"/>
    <w:bookmarkStart w:id="126" w:name="ref-DiMaggio1983Iron"/>
    <w:p>
      <w:pPr>
        <w:pStyle w:val="Bibliography"/>
      </w:pPr>
      <w:r>
        <w:t xml:space="preserve">DiMaggio, Paul J. and Walter W. Powell. 1983. “The Iron Cage Revisited: Institutional Isomorphism and Collective Rationality in Organizational Fields.”</w:t>
      </w:r>
      <w:r>
        <w:t xml:space="preserve"> </w:t>
      </w:r>
      <w:r>
        <w:rPr>
          <w:i/>
        </w:rPr>
        <w:t xml:space="preserve">American Sociological Review</w:t>
      </w:r>
      <w:r>
        <w:t xml:space="preserve"> </w:t>
      </w:r>
      <w:r>
        <w:t xml:space="preserve">48(2):147–60.</w:t>
      </w:r>
    </w:p>
    <w:bookmarkEnd w:id="126"/>
    <w:bookmarkStart w:id="127" w:name="ref-DiMaggio2013Exploiting"/>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bookmarkEnd w:id="127"/>
    <w:bookmarkStart w:id="128" w:name="ref-Durkheim1893division"/>
    <w:p>
      <w:pPr>
        <w:pStyle w:val="Bibliography"/>
      </w:pPr>
      <w:r>
        <w:t xml:space="preserve">Durkheim, Émile. 1893.</w:t>
      </w:r>
      <w:r>
        <w:t xml:space="preserve"> </w:t>
      </w:r>
      <w:r>
        <w:rPr>
          <w:i/>
        </w:rPr>
        <w:t xml:space="preserve">The Division of Labour in Society</w:t>
      </w:r>
      <w:r>
        <w:t xml:space="preserve">. 2nd. ed. edited by S. Lukes. Basingstoke, Hampshire: Palgrave Macmillan UK.</w:t>
      </w:r>
    </w:p>
    <w:bookmarkEnd w:id="128"/>
    <w:bookmarkStart w:id="129" w:name="ref-Fortunato2016Community"/>
    <w:p>
      <w:pPr>
        <w:pStyle w:val="Bibliography"/>
      </w:pPr>
      <w:r>
        <w:t xml:space="preserve">Fortunato, Santo and Darko Hric. 2016. “Community Detection in Networks: A User Guide.”</w:t>
      </w:r>
      <w:r>
        <w:t xml:space="preserve"> </w:t>
      </w:r>
      <w:r>
        <w:rPr>
          <w:i/>
        </w:rPr>
        <w:t xml:space="preserve">Physics Reports</w:t>
      </w:r>
      <w:r>
        <w:t xml:space="preserve"> </w:t>
      </w:r>
      <w:r>
        <w:t xml:space="preserve">659:1–44.</w:t>
      </w:r>
    </w:p>
    <w:bookmarkEnd w:id="129"/>
    <w:bookmarkStart w:id="130" w:name="ref-Foucault2002order"/>
    <w:p>
      <w:pPr>
        <w:pStyle w:val="Bibliography"/>
      </w:pPr>
      <w:r>
        <w:t xml:space="preserve">Foucault, Michel. 2002.</w:t>
      </w:r>
      <w:r>
        <w:t xml:space="preserve"> </w:t>
      </w:r>
      <w:r>
        <w:rPr>
          <w:i/>
        </w:rPr>
        <w:t xml:space="preserve">The Order of Things: An Archaeology of the Human Sciences</w:t>
      </w:r>
      <w:r>
        <w:t xml:space="preserve">. London: Routledge.</w:t>
      </w:r>
    </w:p>
    <w:bookmarkEnd w:id="130"/>
    <w:bookmarkStart w:id="131" w:name="ref-Grimmer2016Measuring"/>
    <w:p>
      <w:pPr>
        <w:pStyle w:val="Bibliography"/>
      </w:pPr>
      <w:r>
        <w:t xml:space="preserve">Grimmer, Justin. 2016. “Measuring Representational Style in the House: The Tea Party, Obama, and Legislators’ Changing Expressed Priorities.” Pp. 225–45 in</w:t>
      </w:r>
      <w:r>
        <w:t xml:space="preserve"> </w:t>
      </w:r>
      <w:r>
        <w:rPr>
          <w:i/>
        </w:rPr>
        <w:t xml:space="preserve">Computational Social Science: Discovery and Prediction</w:t>
      </w:r>
      <w:r>
        <w:t xml:space="preserve">,</w:t>
      </w:r>
      <w:r>
        <w:t xml:space="preserve"> </w:t>
      </w:r>
      <w:r>
        <w:rPr>
          <w:i/>
        </w:rPr>
        <w:t xml:space="preserve">Analytical Methods for Social Research</w:t>
      </w:r>
      <w:r>
        <w:t xml:space="preserve">, edited by R. M. Alvarez. New York, NY: Cambridge University Press.</w:t>
      </w:r>
    </w:p>
    <w:bookmarkEnd w:id="131"/>
    <w:bookmarkStart w:id="132" w:name="ref-Hayes2000Assessing"/>
    <w:p>
      <w:pPr>
        <w:pStyle w:val="Bibliography"/>
      </w:pPr>
      <w:r>
        <w:t xml:space="preserve">Hayes, Robert M. 2000. “Assessing the Value of a Database Company.” in</w:t>
      </w:r>
      <w:r>
        <w:t xml:space="preserve"> </w:t>
      </w:r>
      <w:r>
        <w:rPr>
          <w:i/>
        </w:rPr>
        <w:t xml:space="preserve">The Web of Knowledge: A Festschrift in Honor of Eugene Garfield</w:t>
      </w:r>
      <w:r>
        <w:t xml:space="preserve">, edited by B. Cronin and H. B. Atkins. Information Today, Inc.</w:t>
      </w:r>
    </w:p>
    <w:bookmarkEnd w:id="132"/>
    <w:bookmarkStart w:id="133" w:name="ref-JSTOR2018Title"/>
    <w:p>
      <w:pPr>
        <w:pStyle w:val="Bibliography"/>
      </w:pPr>
      <w:r>
        <w:t xml:space="preserve">JSTOR. 2018. “Title Lists.”</w:t>
      </w:r>
      <w:r>
        <w:t xml:space="preserve"> </w:t>
      </w:r>
      <w:r>
        <w:rPr>
          <w:i/>
        </w:rPr>
        <w:t xml:space="preserve">JSTOR Support Home</w:t>
      </w:r>
      <w:r>
        <w:t xml:space="preserve">.</w:t>
      </w:r>
    </w:p>
    <w:bookmarkEnd w:id="133"/>
    <w:bookmarkStart w:id="134" w:name="ref-Killick2016changepoint"/>
    <w:p>
      <w:pPr>
        <w:pStyle w:val="Bibliography"/>
      </w:pPr>
      <w:r>
        <w:t xml:space="preserve">Killick, Rebecca, Kaylea Haynes, Idris Eckley, Paul Fearnhead, and Jamie Lee. 2016. “Changepoint: Methods for Changepoint Detection.”</w:t>
      </w:r>
    </w:p>
    <w:bookmarkEnd w:id="134"/>
    <w:bookmarkStart w:id="135" w:name="ref-Krivitsky2008Fitting"/>
    <w:p>
      <w:pPr>
        <w:pStyle w:val="Bibliography"/>
      </w:pPr>
      <w:r>
        <w:t xml:space="preserve">Krivitsky, Pavel N. and Mark S. Handcock. 2008. “Fitting Position Latent Cluster Models for Social Networks with Latentnet.”</w:t>
      </w:r>
      <w:r>
        <w:t xml:space="preserve"> </w:t>
      </w:r>
      <w:r>
        <w:rPr>
          <w:i/>
        </w:rPr>
        <w:t xml:space="preserve">Journal of Statistical Software</w:t>
      </w:r>
      <w:r>
        <w:t xml:space="preserve"> </w:t>
      </w:r>
      <w:r>
        <w:t xml:space="preserve">24.</w:t>
      </w:r>
    </w:p>
    <w:bookmarkEnd w:id="135"/>
    <w:bookmarkStart w:id="136" w:name="ref-Lederberg2000How"/>
    <w:p>
      <w:pPr>
        <w:pStyle w:val="Bibliography"/>
      </w:pPr>
      <w:r>
        <w:t xml:space="preserve">Lederberg, Joshua. 2000. “How the Science Citation Index Got Started.” in</w:t>
      </w:r>
      <w:r>
        <w:t xml:space="preserve"> </w:t>
      </w:r>
      <w:r>
        <w:rPr>
          <w:i/>
        </w:rPr>
        <w:t xml:space="preserve">The Web of Knowledge: A Festschrift in Honor of Eugene Garfield</w:t>
      </w:r>
      <w:r>
        <w:t xml:space="preserve">, edited by B. Cronin and H. B. Atkins. Information Today, Inc.</w:t>
      </w:r>
    </w:p>
    <w:bookmarkEnd w:id="136"/>
    <w:bookmarkStart w:id="137" w:name="ref-Lizardo2018mutual"/>
    <w:p>
      <w:pPr>
        <w:pStyle w:val="Bibliography"/>
      </w:pPr>
      <w:r>
        <w:t xml:space="preserve">Lizardo, Omar. 2018. “The Mutual Specification of Genres and Audiences: Reflective Two-Mode Centralities in Person-to-Culture Data.”</w:t>
      </w:r>
      <w:r>
        <w:t xml:space="preserve"> </w:t>
      </w:r>
      <w:r>
        <w:rPr>
          <w:i/>
        </w:rPr>
        <w:t xml:space="preserve">Poetics</w:t>
      </w:r>
      <w:r>
        <w:t xml:space="preserve"> </w:t>
      </w:r>
      <w:r>
        <w:t xml:space="preserve">68:52–71.</w:t>
      </w:r>
    </w:p>
    <w:bookmarkEnd w:id="137"/>
    <w:bookmarkStart w:id="138" w:name="ref-Morville2009Ambient"/>
    <w:p>
      <w:pPr>
        <w:pStyle w:val="Bibliography"/>
      </w:pPr>
      <w:r>
        <w:t xml:space="preserve">Morville, Peter. 2009.</w:t>
      </w:r>
      <w:r>
        <w:t xml:space="preserve"> </w:t>
      </w:r>
      <w:r>
        <w:rPr>
          <w:i/>
        </w:rPr>
        <w:t xml:space="preserve">Ambient Findability</w:t>
      </w:r>
      <w:r>
        <w:t xml:space="preserve">. O’Reilly.</w:t>
      </w:r>
    </w:p>
    <w:bookmarkEnd w:id="138"/>
    <w:bookmarkStart w:id="139"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139"/>
    <w:bookmarkStart w:id="140" w:name="ref-Newman2004Finding"/>
    <w:p>
      <w:pPr>
        <w:pStyle w:val="Bibliography"/>
      </w:pPr>
      <w:r>
        <w:t xml:space="preserve">Newman, M. E. J. and M. Girvan. 2004. “Finding and Evaluating Community Structure in Networks.”</w:t>
      </w:r>
      <w:r>
        <w:t xml:space="preserve"> </w:t>
      </w:r>
      <w:r>
        <w:rPr>
          <w:i/>
        </w:rPr>
        <w:t xml:space="preserve">Physical Review E</w:t>
      </w:r>
      <w:r>
        <w:t xml:space="preserve"> </w:t>
      </w:r>
      <w:r>
        <w:t xml:space="preserve">69(2):026113.</w:t>
      </w:r>
    </w:p>
    <w:bookmarkEnd w:id="140"/>
    <w:bookmarkStart w:id="141" w:name="ref-Pilkington2009evolution"/>
    <w:p>
      <w:pPr>
        <w:pStyle w:val="Bibliography"/>
      </w:pPr>
      <w:r>
        <w:t xml:space="preserve">Pilkington, Alan and Jack Meredith. 2009. “The Evolution of the Intellectual Structure of Operations Management—1980–2006: A Citation/Co-Citation Analysis.”</w:t>
      </w:r>
      <w:r>
        <w:t xml:space="preserve"> </w:t>
      </w:r>
      <w:r>
        <w:rPr>
          <w:i/>
        </w:rPr>
        <w:t xml:space="preserve">Journal of Operations Management</w:t>
      </w:r>
      <w:r>
        <w:t xml:space="preserve"> </w:t>
      </w:r>
      <w:r>
        <w:t xml:space="preserve">27(3):185–202.</w:t>
      </w:r>
    </w:p>
    <w:bookmarkEnd w:id="141"/>
    <w:bookmarkStart w:id="142" w:name="ref-Schreibman2014NonConsumptive"/>
    <w:p>
      <w:pPr>
        <w:pStyle w:val="Bibliography"/>
      </w:pPr>
      <w:r>
        <w:t xml:space="preserve">Schreibman, Susan. 2014. “Non-Consumptive Reading.” Pp. 148–65 in</w:t>
      </w:r>
      <w:r>
        <w:t xml:space="preserve"> </w:t>
      </w:r>
      <w:r>
        <w:rPr>
          <w:i/>
        </w:rPr>
        <w:t xml:space="preserve">From Literature to Cultural Literacy</w:t>
      </w:r>
      <w:r>
        <w:t xml:space="preserve">, edited by N. Segal and D. Koleva. London: Palgrave Macmillan UK.</w:t>
      </w:r>
    </w:p>
    <w:bookmarkEnd w:id="142"/>
    <w:bookmarkStart w:id="143" w:name="ref-Schutz1970Reflections"/>
    <w:p>
      <w:pPr>
        <w:pStyle w:val="Bibliography"/>
      </w:pPr>
      <w:r>
        <w:t xml:space="preserve">Schutz, Alfred. 1970.</w:t>
      </w:r>
      <w:r>
        <w:t xml:space="preserve"> </w:t>
      </w:r>
      <w:r>
        <w:rPr>
          <w:i/>
        </w:rPr>
        <w:t xml:space="preserve">Reflections on the Problem of Relevance</w:t>
      </w:r>
      <w:r>
        <w:t xml:space="preserve">. First Edition edition. New Haven: Yale University Press.</w:t>
      </w:r>
    </w:p>
    <w:bookmarkEnd w:id="143"/>
    <w:bookmarkStart w:id="144" w:name="ref-Serino2017Bridging"/>
    <w:p>
      <w:pPr>
        <w:pStyle w:val="Bibliography"/>
      </w:pPr>
      <w:r>
        <w:t xml:space="preserve">Serino, Marco, Daniela D’Ambrosio, and Giancarlo Ragozini. 2017. “Bridging Social Network Analysis and Field Theory Through Multidimensional Data Analysis: The Case of the Theatrical Field.”</w:t>
      </w:r>
      <w:r>
        <w:t xml:space="preserve"> </w:t>
      </w:r>
      <w:r>
        <w:rPr>
          <w:i/>
        </w:rPr>
        <w:t xml:space="preserve">Poetics</w:t>
      </w:r>
      <w:r>
        <w:t xml:space="preserve"> </w:t>
      </w:r>
      <w:r>
        <w:t xml:space="preserve">62:66–80.</w:t>
      </w:r>
    </w:p>
    <w:bookmarkEnd w:id="144"/>
    <w:bookmarkStart w:id="145" w:name="ref-Shi2015Weaving"/>
    <w:p>
      <w:pPr>
        <w:pStyle w:val="Bibliography"/>
      </w:pPr>
      <w:r>
        <w:t xml:space="preserve">Shi, Feng, Jacob G. Foster, and James A. Evans. 2015. “Weaving the Fabric of Science: Dynamic Network Models of Science’s Unfolding Structure.”</w:t>
      </w:r>
      <w:r>
        <w:t xml:space="preserve"> </w:t>
      </w:r>
      <w:r>
        <w:rPr>
          <w:i/>
        </w:rPr>
        <w:t xml:space="preserve">Social Networks</w:t>
      </w:r>
      <w:r>
        <w:t xml:space="preserve"> </w:t>
      </w:r>
      <w:r>
        <w:t xml:space="preserve">43:73–85.</w:t>
      </w:r>
    </w:p>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TODO, I did not, but should take a random draw of the same size to serve as a control.</w:t>
      </w:r>
    </w:p>
  </w:footnote>
  <w:footnote w:id="43">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consumer an entire corpus, the sheer scale of contemporary publication is now beyond even a genius’s capacity.</w:t>
      </w:r>
    </w:p>
  </w:footnote>
  <w:footnote w:id="46">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47">
    <w:p>
      <w:pPr>
        <w:pStyle w:val="FootnoteText"/>
      </w:pPr>
      <w:r>
        <w:rPr>
          <w:rStyle w:val="FootnoteReference"/>
        </w:rPr>
        <w:footnoteRef/>
      </w:r>
      <w:r>
        <w:t xml:space="preserve"> </w:t>
      </w:r>
      <w:r>
        <w:t xml:space="preserve">www.jstor.org/stable/10.2307/27909026</w:t>
      </w:r>
    </w:p>
  </w:footnote>
  <w:footnote w:id="49">
    <w:p>
      <w:pPr>
        <w:pStyle w:val="FootnoteText"/>
      </w:pPr>
      <w:r>
        <w:rPr>
          <w:rStyle w:val="FootnoteReference"/>
        </w:rPr>
        <w:footnoteRef/>
      </w:r>
      <w:r>
        <w:t xml:space="preserve"> </w:t>
      </w:r>
      <w:r>
        <w:t xml:space="preserve">www.jstor.org/stable/10.2307/43795866</w:t>
      </w:r>
    </w:p>
  </w:footnote>
  <w:footnote w:id="64">
    <w:p>
      <w:pPr>
        <w:pStyle w:val="FootnoteText"/>
      </w:pPr>
      <w:r>
        <w:rPr>
          <w:rStyle w:val="FootnoteReference"/>
        </w:rPr>
        <w:footnoteRef/>
      </w:r>
      <w:r>
        <w:t xml:space="preserve"> </w:t>
      </w:r>
      <w:r>
        <w:t xml:space="preserve">To avoid overcounting, title histories are collapsed into their most recent record, meaning all subsequent counts are out of 2,738. Even though we might expect disciplinary identity to change over time, JSTOR discipline labels do not vary within title histories. One journal–Scientific American Mind–lacked any discipline labels and is excluded from tabulations.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69" Target="media/rId69.png" /><Relationship Type="http://schemas.openxmlformats.org/officeDocument/2006/relationships/image" Id="rId98" Target="media/rId98.png" /><Relationship Type="http://schemas.openxmlformats.org/officeDocument/2006/relationships/image" Id="rId89" Target="media/rId89.png" /><Relationship Type="http://schemas.openxmlformats.org/officeDocument/2006/relationships/image" Id="rId82" Target="media/rId82.png" /><Relationship Type="http://schemas.openxmlformats.org/officeDocument/2006/relationships/image" Id="rId70" Target="media/rId70.png" /><Relationship Type="http://schemas.openxmlformats.org/officeDocument/2006/relationships/image" Id="rId113" Target="media/rId113.png" /><Relationship Type="http://schemas.openxmlformats.org/officeDocument/2006/relationships/image" Id="rId66" Target="media/rId66.png" /><Relationship Type="http://schemas.openxmlformats.org/officeDocument/2006/relationships/image" Id="rId100" Target="media/rId100.png" /><Relationship Type="http://schemas.openxmlformats.org/officeDocument/2006/relationships/image" Id="rId99" Target="media/rId99.png" /><Relationship Type="http://schemas.openxmlformats.org/officeDocument/2006/relationships/image" Id="rId112" Target="media/rId11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 Type="http://schemas.openxmlformats.org/officeDocument/2006/relationships/hyperlink" Id="rId86" Target="https://www.jstor.org/stable/i40084238" TargetMode="External" /><Relationship Type="http://schemas.openxmlformats.org/officeDocument/2006/relationships/hyperlink" Id="rId87" Target="https://www.jstor.org/stable/i40084262" TargetMode="External" /><Relationship Type="http://schemas.openxmlformats.org/officeDocument/2006/relationships/hyperlink" Id="rId83" Target="tree.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 Type="http://schemas.openxmlformats.org/officeDocument/2006/relationships/hyperlink" Id="rId86" Target="https://www.jstor.org/stable/i40084238" TargetMode="External" /><Relationship Type="http://schemas.openxmlformats.org/officeDocument/2006/relationships/hyperlink" Id="rId87" Target="https://www.jstor.org/stable/i40084262" TargetMode="External" /><Relationship Type="http://schemas.openxmlformats.org/officeDocument/2006/relationships/hyperlink" Id="rId83" Target="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2019-07-13T04:17:04Z</dcterms:created>
  <dcterms:modified xsi:type="dcterms:W3CDTF">2019-07-13T04:17:04Z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2019-07-13</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