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0.png" ContentType="image/png"/>
  <Override PartName="/word/media/rId48.png" ContentType="image/png"/>
  <Override PartName="/word/media/rId69.png" ContentType="image/png"/>
  <Override PartName="/word/media/rId98.png" ContentType="image/png"/>
  <Override PartName="/word/media/rId89.png" ContentType="image/png"/>
  <Override PartName="/word/media/rId82.png" ContentType="image/png"/>
  <Override PartName="/word/media/rId70.png" ContentType="image/png"/>
  <Override PartName="/word/media/rId113.png" ContentType="image/png"/>
  <Override PartName="/word/media/rId66.png" ContentType="image/png"/>
  <Override PartName="/word/media/rId100.png" ContentType="image/png"/>
  <Override PartName="/word/media/rId99.png" ContentType="image/png"/>
  <Override PartName="/word/media/rId112.png" ContentType="image/png"/>
  <Override PartName="/word/media/rId35.png" ContentType="image/png"/>
  <Override PartName="/word/media/rId36.png" ContentType="image/png"/>
  <Override PartName="/word/media/rId53.png" ContentType="image/png"/>
  <Override PartName="/word/media/rId85.png" ContentType="image/png"/>
  <Override PartName="/word/media/rId88.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rigourous,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 The trend exhibits the typical take-off in publishing in the second half of the twentieth century. I apply change point analysis, which detects significant differences in time series data</w:t>
      </w:r>
      <w:r>
        <w:t xml:space="preserve"> </w:t>
      </w:r>
      <w:r>
        <w:t xml:space="preserve">(Chen and Gupta</w:t>
      </w:r>
      <w:r>
        <w:t xml:space="preserve"> </w:t>
      </w:r>
      <w:hyperlink w:anchor="ref-Chen2012Parametric">
        <w:r>
          <w:rPr>
            <w:rStyle w:val="Hyperlink"/>
          </w:rPr>
          <w:t xml:space="preserve">2012</w:t>
        </w:r>
      </w:hyperlink>
      <w:r>
        <w:t xml:space="preserve">; Killick et al.</w:t>
      </w:r>
      <w:r>
        <w:t xml:space="preserve"> </w:t>
      </w:r>
      <w:hyperlink w:anchor="ref-Killick2016changepoint">
        <w:r>
          <w:rPr>
            <w:rStyle w:val="Hyperlink"/>
          </w:rPr>
          <w:t xml:space="preserve">2016</w:t>
        </w:r>
      </w:hyperlink>
      <w:r>
        <w:t xml:space="preserve">)</w:t>
      </w:r>
      <w:r>
        <w:t xml:space="preserve">, to the second difference of the trend, which is a measure of change in acceleration, to get clues as to whether the trend is a single process or whether there are inflection points. The first segment of the curve from 1899 to 1984 indicates a period of positive acceleration or quickening of the growth trend, while the period from 1985 to 2008 represents a period of slowing or negative acceleration. Like a projectile that is simultanously climbing and falling, 1984 acts as launch point of precipitous yet unsustainable growth.</w:t>
      </w:r>
    </w:p>
    <w:p>
      <w:pPr>
        <w:pStyle w:val="CaptionedFigure"/>
      </w:pPr>
      <w:r>
        <w:drawing>
          <wp:inline>
            <wp:extent cx="4620126" cy="3696101"/>
            <wp:effectExtent b="0" l="0" r="0" t="0"/>
            <wp:docPr descr="Figure 2 Historical frequency of term “genre” from Google Ngrams English corpus. Segments connote a change in acceleration (second derivative)."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Historical frequency of term</w:t>
      </w:r>
      <w:r>
        <w:t xml:space="preserve"> </w:t>
      </w:r>
      <w:r>
        <w:t xml:space="preserve">“</w:t>
      </w:r>
      <w:r>
        <w:t xml:space="preserve">genre</w:t>
      </w:r>
      <w:r>
        <w:t xml:space="preserve">”</w:t>
      </w:r>
      <w:r>
        <w:t xml:space="preserve"> </w:t>
      </w:r>
      <w:r>
        <w:t xml:space="preserve">from Google Ngrams English corpus. Segments connote a change in acceleration (second derivative).</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Historical frequency of term “genre” from Google Ngrams English corpus. Segments connote a change in acceleration (second derivative)."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Historical frequency of term</w:t>
      </w:r>
      <w:r>
        <w:t xml:space="preserve"> </w:t>
      </w:r>
      <w:r>
        <w:t xml:space="preserve">“</w:t>
      </w:r>
      <w:r>
        <w:t xml:space="preserve">genre</w:t>
      </w:r>
      <w:r>
        <w:t xml:space="preserve">”</w:t>
      </w:r>
      <w:r>
        <w:t xml:space="preserve"> </w:t>
      </w:r>
      <w:r>
        <w:t xml:space="preserve">from Google Ngrams English corpus. Segments connote a change in acceleration (second derivative).</w:t>
      </w:r>
    </w:p>
    <w:p>
      <w:pPr>
        <w:pStyle w:val="CaptionedFigure"/>
      </w:pPr>
      <w:r>
        <w:drawing>
          <wp:inline>
            <wp:extent cx="5334000" cy="4267200"/>
            <wp:effectExtent b="0" l="0" r="0" t="0"/>
            <wp:docPr descr="Figure 4 Wordcloud of third term in 3gram beginning with “genre of”. Source: Google Ngrams" title="" id="1" name="Picture"/>
            <a:graphic>
              <a:graphicData uri="http://schemas.openxmlformats.org/drawingml/2006/picture">
                <pic:pic>
                  <pic:nvPicPr>
                    <pic:cNvPr descr="ambrose_dissertation_files/figure-docx/genre-goog-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 Source: Google Ngrams</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The size of the words is proportional to the total frequency of the trigram in the English corpus, which spans centuries from 1590 to 2008</w:t>
      </w:r>
      <w:r>
        <w:t xml:space="preserve"> </w:t>
      </w:r>
      <w:r>
        <w:t xml:space="preserve">(</w:t>
      </w:r>
      <w:r>
        <w:rPr>
          <w:b/>
        </w:rPr>
        <w:t xml:space="preserve">???</w:t>
      </w:r>
      <w:r>
        <w:t xml:space="preserve">)</w:t>
      </w:r>
      <w:r>
        <w:t xml:space="preserve">.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Only on</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subersive of even more arbitrary club rules, namely those of educational pedigree, such that anyone willing to invest in a presentation of the genre definition will be granted access to the venues, if not the invisible colleges, of the subfield. To be admitted to the arena is no gaurantee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time honored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arms-length-reading"/>
      <w:r>
        <w:t xml:space="preserve">Arms-length reading</w:t>
      </w:r>
      <w:bookmarkEnd w:id="42"/>
    </w:p>
    <w:p>
      <w:pPr>
        <w:pStyle w:val="FirstParagraph"/>
      </w:pPr>
      <w:r>
        <w:t xml:space="preserve">The radical (and often maligned) distant reading approach taken by digital humanists is being taken up with gusto by social scientists who are less skeptical of quantitative methods.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If on the contrary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 s</w:t>
      </w:r>
    </w:p>
    <w:p>
      <w:pPr>
        <w:pStyle w:val="BodyText"/>
      </w:pPr>
      <w:r>
        <w:t xml:space="preserve">(DiMaggio, Nag, and Blei</w:t>
      </w:r>
      <w:r>
        <w:t xml:space="preserve"> </w:t>
      </w:r>
      <w:hyperlink w:anchor="ref-DiMaggio2013Exploiting">
        <w:r>
          <w:rPr>
            <w:rStyle w:val="Hyperlink"/>
          </w:rPr>
          <w:t xml:space="preserve">2013</w:t>
        </w:r>
      </w:hyperlink>
      <w:r>
        <w:t xml:space="preserve">)</w:t>
      </w:r>
    </w:p>
    <w:p>
      <w:pPr>
        <w:pStyle w:val="Heading2"/>
      </w:pPr>
      <w:bookmarkStart w:id="45" w:name="data"/>
      <w:r>
        <w:t xml:space="preserve">Data</w:t>
      </w:r>
      <w:bookmarkEnd w:id="45"/>
    </w:p>
    <w:p>
      <w:pPr>
        <w:pStyle w:val="FirstParagraph"/>
      </w:pPr>
      <w:r>
        <w:t xml:space="preserve">We will use the JSTOR Data for Research service to download a bag-of-words text corpus for topic modeling. I take the following steps to develop a corpus:</w:t>
      </w:r>
    </w:p>
    <w:p>
      <w:pPr>
        <w:pStyle w:val="Compact"/>
        <w:numPr>
          <w:numId w:val="1003"/>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3"/>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3"/>
          <w:ilvl w:val="0"/>
        </w:numPr>
      </w:pPr>
      <w:r>
        <w:t xml:space="preserve">Remove ngrams appearing fewer than three times, which often includes optical character recognition errors.</w:t>
      </w:r>
    </w:p>
    <w:p>
      <w:pPr>
        <w:pStyle w:val="Compact"/>
        <w:numPr>
          <w:numId w:val="1003"/>
          <w:ilvl w:val="0"/>
        </w:numPr>
      </w:pPr>
      <w:r>
        <w:t xml:space="preserve">Remove ngrams shorter than three characters and longer than 25 characters, again often OCR errors but also stopwords that will be removed anyway.</w:t>
      </w:r>
      <w:r>
        <w:rPr>
          <w:rStyle w:val="FootnoteReference"/>
        </w:rPr>
        <w:footnoteReference w:id="46"/>
      </w:r>
    </w:p>
    <w:p>
      <w:pPr>
        <w:pStyle w:val="Compact"/>
        <w:numPr>
          <w:numId w:val="1003"/>
          <w:ilvl w:val="0"/>
        </w:numPr>
      </w:pPr>
      <w:r>
        <w:t xml:space="preserve">Remove ngrams longer than three characters that are all the same letter, often OCR errors but sometimes real, as in Roman numerals.</w:t>
      </w:r>
    </w:p>
    <w:p>
      <w:pPr>
        <w:pStyle w:val="Compact"/>
        <w:numPr>
          <w:numId w:val="1003"/>
          <w:ilvl w:val="0"/>
        </w:numPr>
      </w:pPr>
      <w:r>
        <w:t xml:space="preserve">Compile baseline word counts for each document assuming that at this step the documents contain only valid terms, and no OCR errors.</w:t>
      </w:r>
    </w:p>
    <w:p>
      <w:pPr>
        <w:pStyle w:val="Compact"/>
        <w:numPr>
          <w:numId w:val="1003"/>
          <w:ilvl w:val="0"/>
        </w:numPr>
      </w:pPr>
      <w:r>
        <w:t xml:space="preserve">Remove SMART stopwords.</w:t>
      </w:r>
    </w:p>
    <w:p>
      <w:pPr>
        <w:pStyle w:val="Compact"/>
        <w:numPr>
          <w:numId w:val="1003"/>
          <w:ilvl w:val="0"/>
        </w:numPr>
      </w:pPr>
      <w:r>
        <w:t xml:space="preserve">Remove numbers.</w:t>
      </w:r>
    </w:p>
    <w:p>
      <w:pPr>
        <w:pStyle w:val="Compact"/>
        <w:numPr>
          <w:numId w:val="1003"/>
          <w:ilvl w:val="0"/>
        </w:numPr>
      </w:pPr>
      <w:r>
        <w:t xml:space="preserve">Remove punctuation, except intraword hyphens.</w:t>
      </w:r>
    </w:p>
    <w:p>
      <w:pPr>
        <w:pStyle w:val="Compact"/>
        <w:numPr>
          <w:numId w:val="1003"/>
          <w:ilvl w:val="0"/>
        </w:numPr>
      </w:pPr>
      <w:r>
        <w:t xml:space="preserve">Lemmatize or stem English words.</w:t>
      </w:r>
    </w:p>
    <w:p>
      <w:pPr>
        <w:pStyle w:val="Compact"/>
        <w:numPr>
          <w:numId w:val="1003"/>
          <w:ilvl w:val="0"/>
        </w:numPr>
      </w:pPr>
      <w:r>
        <w:t xml:space="preserve">Remove lemma with fewer than three characters.</w:t>
      </w:r>
    </w:p>
    <w:p>
      <w:pPr>
        <w:pStyle w:val="Compact"/>
        <w:numPr>
          <w:numId w:val="1003"/>
          <w:ilvl w:val="0"/>
        </w:numPr>
      </w:pPr>
      <w:r>
        <w:t xml:space="preserve">Aggregate 1grams defined by a single lemma and, for ease of interpretation, name the sum after the most common 1gram.</w:t>
      </w:r>
    </w:p>
    <w:p>
      <w:pPr>
        <w:pStyle w:val="Compact"/>
        <w:numPr>
          <w:numId w:val="1003"/>
          <w:ilvl w:val="0"/>
        </w:numPr>
      </w:pPr>
      <w:r>
        <w:t xml:space="preserve">Remove terms appearing in fewer than 20 documents.</w:t>
      </w:r>
    </w:p>
    <w:p>
      <w:pPr>
        <w:pStyle w:val="Compact"/>
        <w:numPr>
          <w:numId w:val="1003"/>
          <w:ilvl w:val="0"/>
        </w:numPr>
      </w:pPr>
      <w:r>
        <w:t xml:space="preserve">Remove documents that, after the above filters, have a word count of fewer than 500 words.</w:t>
      </w:r>
    </w:p>
    <w:p>
      <w:pPr>
        <w:pStyle w:val="FirstParagraph"/>
      </w:pPr>
      <w:r>
        <w:t xml:space="preserve">The initial query returned 7,695 articles from 1,205 different journals, as well as 6,485 book chapters from 4,427 books. After the above processing steps, the sample was reduced to 3,545 articles and 2,799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idiosyncracy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idiosyncracy. The median text lost about one tenth (10.16 percent) of its words, while 90 percent of texts are within two tenths, and outliers begin at about three tenths as can be seen in the boxplot. The 150 (2.36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47"/>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idiosycrasy to be 12/13 or 92.3 percent, which also illustrates how terms that are not in the Roman alphabet may be discarded as OCR errors even prior to the idiosyncracy measurement.</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 percentile the rate is 27 in 1,000. 46 texts (0.73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49"/>
      </w:r>
      <w:r>
        <w:t xml:space="preserve"> </w:t>
      </w:r>
      <w:r>
        <w:t xml:space="preserve">is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Heading2"/>
      </w:pPr>
      <w:bookmarkStart w:id="51" w:name="sankey"/>
      <w:r>
        <w:t xml:space="preserve">sankey</w:t>
      </w:r>
      <w:bookmarkEnd w:id="51"/>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52" w:name="top-x-doc"/>
      <w:r>
        <w:t xml:space="preserve">top x doc</w:t>
      </w:r>
      <w:bookmarkEnd w:id="52"/>
    </w:p>
    <w:p>
      <w:pPr>
        <w:pStyle w:val="CaptionedFigure"/>
      </w:pPr>
      <w:r>
        <w:drawing>
          <wp:inline>
            <wp:extent cx="5334000" cy="4267200"/>
            <wp:effectExtent b="0" l="0" r="0" t="0"/>
            <wp:docPr descr="Figure 7 Sankey diagram of document overlap between topic models of increasing values of K." title="" id="1" name="Picture"/>
            <a:graphic>
              <a:graphicData uri="http://schemas.openxmlformats.org/drawingml/2006/picture">
                <pic:pic>
                  <pic:nvPicPr>
                    <pic:cNvPr descr="ambrose_dissertation_files/figure-docx/unnamed-chunk-9-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Sankey diagram of document overlap between topic models of increasing values of K.</w:t>
      </w:r>
    </w:p>
    <w:p>
      <w:pPr>
        <w:pStyle w:val="Heading1"/>
      </w:pPr>
      <w:bookmarkStart w:id="54" w:name="gen"/>
      <w:r>
        <w:t xml:space="preserve">Social Science Genres Today</w:t>
      </w:r>
      <w:bookmarkEnd w:id="54"/>
    </w:p>
    <w:p>
      <w:pPr>
        <w:pStyle w:val="Heading4"/>
      </w:pPr>
      <w:bookmarkStart w:id="55" w:name="abstract-1"/>
      <w:r>
        <w:t xml:space="preserve">Abstract</w:t>
      </w:r>
      <w:bookmarkEnd w:id="55"/>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56" w:name="keywords-1"/>
      <w:r>
        <w:t xml:space="preserve">Keywords</w:t>
      </w:r>
      <w:bookmarkEnd w:id="56"/>
    </w:p>
    <w:p>
      <w:pPr>
        <w:pStyle w:val="FirstParagraph"/>
      </w:pPr>
      <w:r>
        <w:t xml:space="preserve">genre, social science, knowledge mapping, labeling, cognition</w:t>
      </w:r>
    </w:p>
    <w:p>
      <w:pPr>
        <w:pStyle w:val="Heading2"/>
      </w:pPr>
      <w:bookmarkStart w:id="57" w:name="introduction"/>
      <w:r>
        <w:t xml:space="preserve">Introduction</w:t>
      </w:r>
      <w:bookmarkEnd w:id="57"/>
    </w:p>
    <w:p>
      <w:pPr>
        <w:pStyle w:val="BlockText"/>
      </w:pPr>
      <w:r>
        <w:t xml:space="preserve">The science that everybody is…called upon to possess hardly deserves that name. It is not science; or at the very most it is the most common and general part of it. It is indeed limited to a few indispensable elements of knowledge which are only required of everyone because they are within everyone’s grasp. Science proper soars infinitely beyond this vulgar level. It includes not only what one would blush at not knowing, but all that it is possible to know. It presumes among those who are its adepts not only those average faculties possessed by all men, but special aptitudes. In consequence, since it is accessible only to an elite, it is not obligatory. Although something fine and useful, it is not so utterly indispensable that society categorically requires it. There is advantage in being equipped with it, but nothing immoral about not acquiring it. It is a field of activity open to everyone on their own initiative, but one which no one is compelled to enter. One is no more required to be a scientist than an artist.</w:t>
      </w:r>
      <w:r>
        <w:t xml:space="preserve"> </w:t>
      </w:r>
      <w:r>
        <w:t xml:space="preserve">(Durkheim</w:t>
      </w:r>
      <w:r>
        <w:t xml:space="preserve"> </w:t>
      </w:r>
      <w:hyperlink w:anchor="ref-Durkheim1893division">
        <w:r>
          <w:rPr>
            <w:rStyle w:val="Hyperlink"/>
          </w:rPr>
          <w:t xml:space="preserve">1893</w:t>
        </w:r>
      </w:hyperlink>
      <w:r>
        <w:t xml:space="preserve">:43)</w:t>
      </w:r>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58" w:name="taste"/>
      <w:r>
        <w:t xml:space="preserve">Taste</w:t>
      </w:r>
      <w:bookmarkEnd w:id="58"/>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hyperlink w:anchor="ref-Serino2017Bridging">
        <w:r>
          <w:rPr>
            <w:rStyle w:val="Hyperlink"/>
          </w:rPr>
          <w:t xml:space="preserve">2017</w:t>
        </w:r>
      </w:hyperlink>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59" w:name="structuralist"/>
      <w:r>
        <w:t xml:space="preserve">Structuralist</w:t>
      </w:r>
      <w:bookmarkEnd w:id="59"/>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60" w:name="culture"/>
      <w:r>
        <w:t xml:space="preserve">Culture</w:t>
      </w:r>
      <w:bookmarkEnd w:id="60"/>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61" w:name="Xe6e2354489a4d0f8ece1c96b929cc740021d175"/>
      <w:r>
        <w:t xml:space="preserve">Genre, Profession, and Cultural Morphodynamics</w:t>
      </w:r>
      <w:bookmarkEnd w:id="61"/>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62" w:name="generic-vs-typical"/>
      <w:r>
        <w:t xml:space="preserve">Generic vs Typical</w:t>
      </w:r>
      <w:bookmarkEnd w:id="62"/>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63" w:name="kd-dq1"/>
      <w:r>
        <w:t xml:space="preserve">JSTOR Journals</w:t>
      </w:r>
      <w:bookmarkEnd w:id="63"/>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(JSTOR</w:t>
      </w:r>
      <w:r>
        <w:t xml:space="preserve"> </w:t>
      </w:r>
      <w:hyperlink w:anchor="ref-JSTOR2018Title">
        <w:r>
          <w:rPr>
            <w:rStyle w:val="Hyperlink"/>
          </w:rPr>
          <w:t xml:space="preserve">2018</w:t>
        </w:r>
      </w:hyperlink>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64"/>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65" w:name="network-mode-projection"/>
      <w:r>
        <w:t xml:space="preserve">Network Mode Projection</w:t>
      </w:r>
      <w:bookmarkEnd w:id="65"/>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8</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8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8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8</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five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67" w:name="network-community-detection"/>
      <w:r>
        <w:t xml:space="preserve">Network Community Detection</w:t>
      </w:r>
      <w:bookmarkEnd w:id="67"/>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 Fortunato and Hric</w:t>
      </w:r>
      <w:r>
        <w:t xml:space="preserve"> </w:t>
      </w:r>
      <w:hyperlink w:anchor="ref-Fortunato2016Community">
        <w:r>
          <w:rPr>
            <w:rStyle w:val="Hyperlink"/>
          </w:rPr>
          <w:t xml:space="preserve">2016</w:t>
        </w:r>
      </w:hyperlink>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(Blondel et al.</w:t>
      </w:r>
      <w:r>
        <w:t xml:space="preserve"> </w:t>
      </w:r>
      <w:hyperlink w:anchor="ref-Blondel2008Fast">
        <w:r>
          <w:rPr>
            <w:rStyle w:val="Hyperlink"/>
          </w:rPr>
          <w:t xml:space="preserve">2008</w:t>
        </w:r>
      </w:hyperlink>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(Newman and Girvan</w:t>
      </w:r>
      <w:r>
        <w:t xml:space="preserve"> </w:t>
      </w:r>
      <w:hyperlink w:anchor="ref-Newman2004Finding">
        <w:r>
          <w:rPr>
            <w:rStyle w:val="Hyperlink"/>
          </w:rPr>
          <w:t xml:space="preserve">2004</w:t>
        </w:r>
      </w:hyperlink>
      <w:r>
        <w:t xml:space="preserve">:8)</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68" w:name="network-visualization"/>
      <w:r>
        <w:t xml:space="preserve">Network Visualization</w:t>
      </w:r>
      <w:bookmarkEnd w:id="68"/>
    </w:p>
    <w:p>
      <w:pPr>
        <w:pStyle w:val="FirstParagraph"/>
      </w:pPr>
      <w:r>
        <w:t xml:space="preserve">Figure</w:t>
      </w:r>
      <w:r>
        <w:t xml:space="preserve"> </w:t>
      </w:r>
      <w:r>
        <w:t xml:space="preserve">9</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 Krivitsky and Handcock</w:t>
      </w:r>
      <w:r>
        <w:t xml:space="preserve"> </w:t>
      </w:r>
      <w:hyperlink w:anchor="ref-Krivitsky2008Fitting">
        <w:r>
          <w:rPr>
            <w:rStyle w:val="Hyperlink"/>
          </w:rPr>
          <w:t xml:space="preserve">2008</w:t>
        </w:r>
      </w:hyperlink>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9</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9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10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71" w:name="cit"/>
      <w:r>
        <w:t xml:space="preserve">The Social Science Citation Landscape, 1900-1940</w:t>
      </w:r>
      <w:bookmarkEnd w:id="71"/>
    </w:p>
    <w:p>
      <w:pPr>
        <w:pStyle w:val="Heading4"/>
      </w:pPr>
      <w:bookmarkStart w:id="72" w:name="abstract-2"/>
      <w:r>
        <w:t xml:space="preserve">Abstract</w:t>
      </w:r>
      <w:bookmarkEnd w:id="72"/>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73" w:name="keywords-2"/>
      <w:r>
        <w:t xml:space="preserve">Keywords</w:t>
      </w:r>
      <w:bookmarkEnd w:id="73"/>
    </w:p>
    <w:p>
      <w:pPr>
        <w:pStyle w:val="FirstParagraph"/>
      </w:pPr>
      <w:r>
        <w:t xml:space="preserve">citations, k-clique communities, community detection, landscape</w:t>
      </w:r>
    </w:p>
    <w:p>
      <w:pPr>
        <w:pStyle w:val="Heading2"/>
      </w:pPr>
      <w:bookmarkStart w:id="74" w:name="introduction-1"/>
      <w:r>
        <w:t xml:space="preserve">Introduction</w:t>
      </w:r>
      <w:bookmarkEnd w:id="74"/>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75" w:name="Xf61af20cabc0021a16601ae4546e6d08ea8b12d"/>
      <w:r>
        <w:t xml:space="preserve">Scholarly Communication vs Knowledge Terrain</w:t>
      </w:r>
      <w:bookmarkEnd w:id="75"/>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76" w:name="wok"/>
      <w:r>
        <w:t xml:space="preserve">Mapping Knowledge Terrain</w:t>
      </w:r>
      <w:bookmarkEnd w:id="76"/>
    </w:p>
    <w:p>
      <w:pPr>
        <w:pStyle w:val="Heading4"/>
      </w:pPr>
      <w:bookmarkStart w:id="77" w:name="knowledge-stuff"/>
      <w:r>
        <w:t xml:space="preserve">knowledge stuff</w:t>
      </w:r>
      <w:bookmarkEnd w:id="77"/>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(Pilkington and Meredith</w:t>
      </w:r>
      <w:r>
        <w:t xml:space="preserve"> </w:t>
      </w:r>
      <w:hyperlink w:anchor="ref-Pilkington2009evolution">
        <w:r>
          <w:rPr>
            <w:rStyle w:val="Hyperlink"/>
          </w:rPr>
          <w:t xml:space="preserve">2009</w:t>
        </w:r>
      </w:hyperlink>
      <w:r>
        <w:t xml:space="preserve">)</w:t>
      </w:r>
    </w:p>
    <w:p>
      <w:pPr>
        <w:pStyle w:val="Heading3"/>
      </w:pPr>
      <w:bookmarkStart w:id="78" w:name="X149e5b3b957ca88293814dc48bcf2d2e8d36b2a"/>
      <w:r>
        <w:t xml:space="preserve">Disciplines as a Large World Co-reference Network</w:t>
      </w:r>
      <w:bookmarkEnd w:id="78"/>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79" w:name="methods"/>
      <w:r>
        <w:t xml:space="preserve">Methods</w:t>
      </w:r>
      <w:bookmarkEnd w:id="79"/>
    </w:p>
    <w:p>
      <w:pPr>
        <w:pStyle w:val="Heading2"/>
      </w:pPr>
      <w:bookmarkStart w:id="80" w:name="data-1"/>
      <w:r>
        <w:t xml:space="preserve">Data</w:t>
      </w:r>
      <w:bookmarkEnd w:id="80"/>
    </w:p>
    <w:p>
      <w:pPr>
        <w:pStyle w:val="Heading2"/>
      </w:pPr>
      <w:bookmarkStart w:id="81" w:name="results"/>
      <w:r>
        <w:t xml:space="preserve">Results</w:t>
      </w:r>
      <w:bookmarkEnd w:id="81"/>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11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K-clique Community Structure (</w:t>
      </w:r>
      <w:hyperlink r:id="rId83">
        <w:r>
          <w:rPr>
            <w:rStyle w:val="Hyperlink"/>
          </w:rPr>
          <w:t xml:space="preserve">popout</w:t>
        </w:r>
      </w:hyperlink>
      <w:r>
        <w:t xml:space="preserve">)</w:t>
      </w:r>
    </w:p>
    <w:p>
      <w:pPr>
        <w:pStyle w:val="BodyText"/>
      </w:pPr>
      <w:r>
        <w:t xml:space="preserve">Figure</w:t>
      </w:r>
      <w:r>
        <w:t xml:space="preserve"> </w:t>
      </w:r>
      <w:r>
        <w:t xml:space="preserve">11</w:t>
      </w:r>
      <w:r>
        <w:t xml:space="preserve"> </w:t>
      </w:r>
      <w:r>
        <w:t xml:space="preserve">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84" w:name="continents"/>
      <w:r>
        <w:t xml:space="preserve">Continents</w:t>
      </w:r>
      <w:bookmarkEnd w:id="84"/>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12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85"/>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12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12</w:t>
      </w:r>
      <w:r>
        <w:t xml:space="preserve">, comes from four authors publishing in the same 1930</w:t>
      </w:r>
      <w:r>
        <w:t xml:space="preserve"> </w:t>
      </w:r>
      <w:hyperlink r:id="rId86">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87">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w:t>
      </w:r>
      <w:r>
        <w:t xml:space="preserve"> </w:t>
      </w:r>
      <w:r>
        <w:t xml:space="preserve">enumerates issue introductions and shows how many are the structuring article in their community.</w:t>
      </w:r>
    </w:p>
    <w:p>
      <w:pPr>
        <w:pStyle w:val="CaptionedFigure"/>
      </w:pPr>
      <w:r>
        <w:drawing>
          <wp:inline>
            <wp:extent cx="5334000" cy="3429000"/>
            <wp:effectExtent b="0" l="0" r="0" t="0"/>
            <wp:docPr descr="Figure 13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88"/>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13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14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Hill Isle in Graph Layout</w:t>
      </w:r>
    </w:p>
    <w:p>
      <w:pPr>
        <w:pStyle w:val="Heading3"/>
      </w:pPr>
      <w:bookmarkStart w:id="90" w:name="peaks"/>
      <w:r>
        <w:t xml:space="preserve">Peaks</w:t>
      </w:r>
      <w:bookmarkEnd w:id="90"/>
    </w:p>
    <w:p>
      <w:pPr>
        <w:pStyle w:val="FirstParagraph"/>
      </w:pPr>
      <w:r>
        <w:t xml:space="preserve">The KCC model reveals</w:t>
      </w:r>
    </w:p>
    <w:p>
      <w:pPr>
        <w:pStyle w:val="Heading3"/>
      </w:pPr>
      <w:bookmarkStart w:id="91" w:name="valleys"/>
      <w:r>
        <w:t xml:space="preserve">Valleys</w:t>
      </w:r>
      <w:bookmarkEnd w:id="91"/>
    </w:p>
    <w:p>
      <w:pPr>
        <w:pStyle w:val="Heading3"/>
      </w:pPr>
      <w:bookmarkStart w:id="92" w:name="X21da6a0927de4cd993063a9db3281001f5ac2e7"/>
      <w:r>
        <w:t xml:space="preserve">Do reference lists describe author knowledge?</w:t>
      </w:r>
      <w:bookmarkEnd w:id="92"/>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93" w:name="voc"/>
      <w:r>
        <w:t xml:space="preserve">Vocabularies of Anthropology and Sociology, 1888-1922</w:t>
      </w:r>
      <w:bookmarkEnd w:id="93"/>
    </w:p>
    <w:p>
      <w:pPr>
        <w:pStyle w:val="Heading4"/>
      </w:pPr>
      <w:bookmarkStart w:id="94" w:name="abstract-3"/>
      <w:r>
        <w:t xml:space="preserve">Abstract</w:t>
      </w:r>
      <w:bookmarkEnd w:id="94"/>
    </w:p>
    <w:p>
      <w:pPr>
        <w:pStyle w:val="FirstParagraph"/>
      </w:pPr>
      <w:r>
        <w:t xml:space="preserve">Knowledge development of journals in sociology and anthropology is measured as the change in topic prevalence over time.</w:t>
      </w:r>
    </w:p>
    <w:p>
      <w:pPr>
        <w:pStyle w:val="Heading4"/>
      </w:pPr>
      <w:bookmarkStart w:id="95" w:name="keywords-3"/>
      <w:r>
        <w:t xml:space="preserve">Keywords</w:t>
      </w:r>
      <w:bookmarkEnd w:id="95"/>
    </w:p>
    <w:p>
      <w:pPr>
        <w:pStyle w:val="FirstParagraph"/>
      </w:pPr>
      <w:r>
        <w:t xml:space="preserve">sociology of knowledge, topic modeling, history of social science</w:t>
      </w:r>
    </w:p>
    <w:p>
      <w:pPr>
        <w:pStyle w:val="Heading2"/>
      </w:pPr>
      <w:bookmarkStart w:id="96" w:name="kd"/>
      <w:r>
        <w:t xml:space="preserve">Knowledge Development</w:t>
      </w:r>
      <w:bookmarkEnd w:id="96"/>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97" w:name="kd-dq2"/>
      <w:r>
        <w:t xml:space="preserve">Social Science Journals</w:t>
      </w:r>
      <w:bookmarkEnd w:id="97"/>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5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Periods in the Growth of the Number of Social Science Journals in the JSTOR Archive</w:t>
      </w:r>
    </w:p>
    <w:p>
      <w:pPr>
        <w:pStyle w:val="CaptionedFigure"/>
      </w:pPr>
      <w:r>
        <w:drawing>
          <wp:inline>
            <wp:extent cx="5334000" cy="4267200"/>
            <wp:effectExtent b="0" l="0" r="0" t="0"/>
            <wp:docPr descr="Figure 16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Decennial growth in number of PhD degrees conferred in the U.S.</w:t>
      </w:r>
    </w:p>
    <w:p>
      <w:pPr>
        <w:pStyle w:val="CaptionedFigure"/>
      </w:pPr>
      <w:r>
        <w:drawing>
          <wp:inline>
            <wp:extent cx="5334000" cy="4267200"/>
            <wp:effectExtent b="0" l="0" r="0" t="0"/>
            <wp:docPr descr="Figure 17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101" w:name="topics-ideas"/>
      <w:r>
        <w:t xml:space="preserve">Topics ≟ Ideas</w:t>
      </w:r>
      <w:bookmarkEnd w:id="101"/>
    </w:p>
    <w:p>
      <w:pPr>
        <w:pStyle w:val="FirstParagraph"/>
      </w:pPr>
      <w:r>
        <w:t xml:space="preserve">The strategy of the study occurs in four steps.</w:t>
      </w:r>
    </w:p>
    <w:p>
      <w:pPr>
        <w:pStyle w:val="Compact"/>
        <w:numPr>
          <w:numId w:val="1004"/>
          <w:ilvl w:val="0"/>
        </w:numPr>
      </w:pPr>
      <w:r>
        <w:t xml:space="preserve">Sort text into categories of similar vocabulary.</w:t>
      </w:r>
    </w:p>
    <w:p>
      <w:pPr>
        <w:pStyle w:val="Compact"/>
        <w:numPr>
          <w:numId w:val="1004"/>
          <w:ilvl w:val="0"/>
        </w:numPr>
      </w:pPr>
      <w:r>
        <w:t xml:space="preserve">Describe the vocabularies that define category membership.</w:t>
      </w:r>
    </w:p>
    <w:p>
      <w:pPr>
        <w:pStyle w:val="Compact"/>
        <w:numPr>
          <w:numId w:val="1004"/>
          <w:ilvl w:val="0"/>
        </w:numPr>
      </w:pPr>
      <w:r>
        <w:t xml:space="preserve">Describe vocabulary prevalence across time and discipline.</w:t>
      </w:r>
    </w:p>
    <w:p>
      <w:pPr>
        <w:pStyle w:val="Compact"/>
        <w:numPr>
          <w:numId w:val="1004"/>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102" w:name="kd-lit"/>
      <w:r>
        <w:t xml:space="preserve">Prior Work</w:t>
      </w:r>
      <w:bookmarkEnd w:id="102"/>
    </w:p>
    <w:p>
      <w:pPr>
        <w:pStyle w:val="Heading2"/>
      </w:pPr>
      <w:bookmarkStart w:id="103" w:name="information"/>
      <w:r>
        <w:t xml:space="preserve">Information</w:t>
      </w:r>
      <w:bookmarkEnd w:id="103"/>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(Boyd-Graber, Hu, and Mimno</w:t>
      </w:r>
      <w:r>
        <w:t xml:space="preserve"> </w:t>
      </w:r>
      <w:hyperlink w:anchor="ref-Boyd-Graber2017Applications">
        <w:r>
          <w:rPr>
            <w:rStyle w:val="Hyperlink"/>
          </w:rPr>
          <w:t xml:space="preserve">2017</w:t>
        </w:r>
      </w:hyperlink>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104" w:name="meaning"/>
      <w:r>
        <w:t xml:space="preserve">Meaning</w:t>
      </w:r>
      <w:bookmarkEnd w:id="104"/>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105" w:name="communication"/>
      <w:r>
        <w:t xml:space="preserve">Communication</w:t>
      </w:r>
      <w:bookmarkEnd w:id="105"/>
    </w:p>
    <w:p>
      <w:pPr>
        <w:pStyle w:val="FirstParagraph"/>
      </w:pPr>
      <w:r>
        <w:t xml:space="preserve">representational style</w:t>
      </w:r>
      <w:r>
        <w:t xml:space="preserve"> </w:t>
      </w:r>
      <w:r>
        <w:t xml:space="preserve">(Grimmer</w:t>
      </w:r>
      <w:r>
        <w:t xml:space="preserve"> </w:t>
      </w:r>
      <w:hyperlink w:anchor="ref-Grimmer2016Measuring">
        <w:r>
          <w:rPr>
            <w:rStyle w:val="Hyperlink"/>
          </w:rPr>
          <w:t xml:space="preserve">2016</w:t>
        </w:r>
      </w:hyperlink>
      <w:r>
        <w:t xml:space="preserve">)</w:t>
      </w:r>
      <w:r>
        <w:t xml:space="preserve"> </w:t>
      </w:r>
      <w:r>
        <w:t xml:space="preserve">frame</w:t>
      </w:r>
      <w:r>
        <w:t xml:space="preserve"> </w:t>
      </w:r>
      <w:r>
        <w:t xml:space="preserve">(DiMaggio et al.</w:t>
      </w:r>
      <w:r>
        <w:t xml:space="preserve"> </w:t>
      </w:r>
      <w:hyperlink w:anchor="ref-DiMaggio2013Exploiting">
        <w:r>
          <w:rPr>
            <w:rStyle w:val="Hyperlink"/>
          </w:rPr>
          <w:t xml:space="preserve">2013</w:t>
        </w:r>
      </w:hyperlink>
      <w:r>
        <w:t xml:space="preserve">)</w:t>
      </w:r>
    </w:p>
    <w:p>
      <w:pPr>
        <w:pStyle w:val="Heading2"/>
      </w:pPr>
      <w:bookmarkStart w:id="106" w:name="full-text"/>
      <w:r>
        <w:t xml:space="preserve">Full-Text</w:t>
      </w:r>
      <w:bookmarkEnd w:id="106"/>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(Schreibman</w:t>
      </w:r>
      <w:r>
        <w:t xml:space="preserve"> </w:t>
      </w:r>
      <w:hyperlink w:anchor="ref-Schreibman2014NonConsumptive">
        <w:r>
          <w:rPr>
            <w:rStyle w:val="Hyperlink"/>
          </w:rPr>
          <w:t xml:space="preserve">2014</w:t>
        </w:r>
      </w:hyperlink>
      <w:r>
        <w:t xml:space="preserve">:149)</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107" w:name="kd-dd"/>
      <w:r>
        <w:t xml:space="preserve">Data</w:t>
      </w:r>
      <w:bookmarkEnd w:id="107"/>
    </w:p>
    <w:p>
      <w:pPr>
        <w:pStyle w:val="FirstParagraph"/>
      </w:pPr>
      <w:r>
        <w:t xml:space="preserve">Every record for every journal was downloaded manually, including front and back matter, articles, and book reviews.</w:t>
      </w:r>
    </w:p>
    <w:p>
      <w:pPr>
        <w:pStyle w:val="Heading2"/>
      </w:pPr>
      <w:bookmarkStart w:id="108" w:name="kd-dp1"/>
      <w:r>
        <w:t xml:space="preserve">Sampling</w:t>
      </w:r>
      <w:bookmarkEnd w:id="108"/>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109" w:name="units-of-analysis"/>
      <w:r>
        <w:t xml:space="preserve">Units of Analysis</w:t>
      </w:r>
      <w:bookmarkEnd w:id="109"/>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110" w:name="kd-dp2"/>
      <w:r>
        <w:t xml:space="preserve">Topics</w:t>
      </w:r>
      <w:bookmarkEnd w:id="110"/>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111" w:name="how-many-topics"/>
      <w:r>
        <w:t xml:space="preserve">How many topics?</w:t>
      </w:r>
      <w:bookmarkEnd w:id="111"/>
    </w:p>
    <w:p>
      <w:pPr>
        <w:pStyle w:val="CaptionedFigure"/>
      </w:pPr>
      <w:r>
        <w:drawing>
          <wp:inline>
            <wp:extent cx="4620126" cy="3696101"/>
            <wp:effectExtent b="0" l="0" r="0" t="0"/>
            <wp:docPr descr="Figure 18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9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19 Significant Counts of K</w:t>
      </w:r>
    </w:p>
    <w:p>
      <w:pPr>
        <w:pStyle w:val="Heading2"/>
      </w:pPr>
      <w:bookmarkStart w:id="114" w:name="model-selection"/>
      <w:r>
        <w:t xml:space="preserve">Model selection</w:t>
      </w:r>
      <w:bookmarkEnd w:id="114"/>
    </w:p>
    <w:p>
      <w:pPr>
        <w:pStyle w:val="Heading1"/>
      </w:pPr>
      <w:bookmarkStart w:id="115" w:name="ten"/>
      <w:r>
        <w:t xml:space="preserve">The Development of Intensive Referencing</w:t>
      </w:r>
      <w:bookmarkEnd w:id="115"/>
    </w:p>
    <w:p>
      <w:pPr>
        <w:pStyle w:val="Heading4"/>
      </w:pPr>
      <w:bookmarkStart w:id="116" w:name="abstract-4"/>
      <w:r>
        <w:t xml:space="preserve">Abstract</w:t>
      </w:r>
      <w:bookmarkEnd w:id="116"/>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17" w:name="keywords-4"/>
      <w:r>
        <w:t xml:space="preserve">Keywords</w:t>
      </w:r>
      <w:bookmarkEnd w:id="117"/>
    </w:p>
    <w:p>
      <w:pPr>
        <w:pStyle w:val="FirstParagraph"/>
      </w:pPr>
      <w:r>
        <w:t xml:space="preserve">poisson, permutation test, historical development, citation, bibliometry, history of social science</w:t>
      </w:r>
    </w:p>
    <w:p>
      <w:pPr>
        <w:pStyle w:val="BodyText"/>
      </w:pPr>
      <w:r>
        <w:t xml:space="preserve">##intro</w:t>
      </w:r>
    </w:p>
    <w:p>
      <w:pPr>
        <w:pStyle w:val="BodyText"/>
      </w:pP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18" w:name="method-1"/>
      <w:r>
        <w:t xml:space="preserve">method</w:t>
      </w:r>
      <w:bookmarkEnd w:id="118"/>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19" w:name="lit-review"/>
      <w:r>
        <w:t xml:space="preserve">lit review</w:t>
      </w:r>
      <w:bookmarkEnd w:id="119"/>
    </w:p>
    <w:bookmarkStart w:id="146" w:name="refs"/>
    <w:bookmarkStart w:id="120"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20"/>
    <w:bookmarkStart w:id="121" w:name="ref-Blondel2008Fast"/>
    <w:p>
      <w:pPr>
        <w:pStyle w:val="Bibliography"/>
      </w:pPr>
      <w:r>
        <w:t xml:space="preserve">Blondel, Vincent D., Jean-Loup Guillaume, Renaud Lambiotte, and Etienne Lefebvre. 2008. “Fast Unfolding of Communities in Large Networks.”</w:t>
      </w:r>
    </w:p>
    <w:bookmarkEnd w:id="121"/>
    <w:bookmarkStart w:id="122"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22"/>
    <w:bookmarkStart w:id="123" w:name="ref-Boyd-Graber2017Applications"/>
    <w:p>
      <w:pPr>
        <w:pStyle w:val="Bibliography"/>
      </w:pPr>
      <w:r>
        <w:t xml:space="preserve">Boyd-Graber, Jordan, Yuening Hu, and David Mimno. 2017. “Applications of Topic Models.”</w:t>
      </w:r>
      <w:r>
        <w:t xml:space="preserve"> </w:t>
      </w:r>
      <w:r>
        <w:rPr>
          <w:i/>
        </w:rPr>
        <w:t xml:space="preserve">Foundations and Trends® in Information Retrieval</w:t>
      </w:r>
      <w:r>
        <w:t xml:space="preserve"> </w:t>
      </w:r>
      <w:r>
        <w:t xml:space="preserve">11(2-3):143–296.</w:t>
      </w:r>
    </w:p>
    <w:bookmarkEnd w:id="123"/>
    <w:bookmarkStart w:id="124" w:name="ref-Chen2012Parametric"/>
    <w:p>
      <w:pPr>
        <w:pStyle w:val="Bibliography"/>
      </w:pPr>
      <w:r>
        <w:t xml:space="preserve">Chen, Jie and Arjun K. Gupta. 2012.</w:t>
      </w:r>
      <w:r>
        <w:t xml:space="preserve"> </w:t>
      </w:r>
      <w:r>
        <w:rPr>
          <w:i/>
        </w:rPr>
        <w:t xml:space="preserve">Parametric Statistical Change Point Analysis: With Applications to Genetics, Medicine, and Finance</w:t>
      </w:r>
      <w:r>
        <w:t xml:space="preserve">. 2nd ed. Birkhäuser Basel.</w:t>
      </w:r>
    </w:p>
    <w:bookmarkEnd w:id="124"/>
    <w:bookmarkStart w:id="125"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25"/>
    <w:bookmarkStart w:id="126"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26"/>
    <w:bookmarkStart w:id="127"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127"/>
    <w:bookmarkStart w:id="128" w:name="ref-Durkheim1893division"/>
    <w:p>
      <w:pPr>
        <w:pStyle w:val="Bibliography"/>
      </w:pPr>
      <w:r>
        <w:t xml:space="preserve">Durkheim, Émile. 1893.</w:t>
      </w:r>
      <w:r>
        <w:t xml:space="preserve"> </w:t>
      </w:r>
      <w:r>
        <w:rPr>
          <w:i/>
        </w:rPr>
        <w:t xml:space="preserve">The Division of Labour in Society</w:t>
      </w:r>
      <w:r>
        <w:t xml:space="preserve">. 2nd. ed. edited by S. Lukes. Basingstoke, Hampshire: Palgrave Macmillan UK.</w:t>
      </w:r>
    </w:p>
    <w:bookmarkEnd w:id="128"/>
    <w:bookmarkStart w:id="129" w:name="ref-Fortunato2016Community"/>
    <w:p>
      <w:pPr>
        <w:pStyle w:val="Bibliography"/>
      </w:pPr>
      <w:r>
        <w:t xml:space="preserve">Fortunato, Santo and Darko Hric. 2016. “Community Detection in Networks: A User Guide.”</w:t>
      </w:r>
      <w:r>
        <w:t xml:space="preserve"> </w:t>
      </w:r>
      <w:r>
        <w:rPr>
          <w:i/>
        </w:rPr>
        <w:t xml:space="preserve">Physics Reports</w:t>
      </w:r>
      <w:r>
        <w:t xml:space="preserve"> </w:t>
      </w:r>
      <w:r>
        <w:t xml:space="preserve">659:1–44.</w:t>
      </w:r>
    </w:p>
    <w:bookmarkEnd w:id="129"/>
    <w:bookmarkStart w:id="130"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30"/>
    <w:bookmarkStart w:id="131" w:name="ref-Grimmer2016Measuring"/>
    <w:p>
      <w:pPr>
        <w:pStyle w:val="Bibliography"/>
      </w:pPr>
      <w:r>
        <w:t xml:space="preserve">Grimmer, Justin. 2016. “Measuring Representational Style in the House: The Tea Party, Obama, and Legislators’ Changing Expressed Priorities.” Pp. 225–45 in</w:t>
      </w:r>
      <w:r>
        <w:t xml:space="preserve"> </w:t>
      </w:r>
      <w:r>
        <w:rPr>
          <w:i/>
        </w:rPr>
        <w:t xml:space="preserve">Computational Social Science: Discovery and Prediction</w:t>
      </w:r>
      <w:r>
        <w:t xml:space="preserve">,</w:t>
      </w:r>
      <w:r>
        <w:t xml:space="preserve"> </w:t>
      </w:r>
      <w:r>
        <w:rPr>
          <w:i/>
        </w:rPr>
        <w:t xml:space="preserve">Analytical Methods for Social Research</w:t>
      </w:r>
      <w:r>
        <w:t xml:space="preserve">, edited by R. M. Alvarez. New York, NY: Cambridge University Press.</w:t>
      </w:r>
    </w:p>
    <w:bookmarkEnd w:id="131"/>
    <w:bookmarkStart w:id="132"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32"/>
    <w:bookmarkStart w:id="133" w:name="ref-JSTOR2018Title"/>
    <w:p>
      <w:pPr>
        <w:pStyle w:val="Bibliography"/>
      </w:pPr>
      <w:r>
        <w:t xml:space="preserve">JSTOR. 2018. “Title Lists.”</w:t>
      </w:r>
      <w:r>
        <w:t xml:space="preserve"> </w:t>
      </w:r>
      <w:r>
        <w:rPr>
          <w:i/>
        </w:rPr>
        <w:t xml:space="preserve">JSTOR Support Home</w:t>
      </w:r>
      <w:r>
        <w:t xml:space="preserve">.</w:t>
      </w:r>
    </w:p>
    <w:bookmarkEnd w:id="133"/>
    <w:bookmarkStart w:id="134" w:name="ref-Killick2016changepoint"/>
    <w:p>
      <w:pPr>
        <w:pStyle w:val="Bibliography"/>
      </w:pPr>
      <w:r>
        <w:t xml:space="preserve">Killick, Rebecca, Kaylea Haynes, Idris Eckley, Paul Fearnhead, and Jamie Lee. 2016. “Changepoint: Methods for Changepoint Detection.”</w:t>
      </w:r>
    </w:p>
    <w:bookmarkEnd w:id="134"/>
    <w:bookmarkStart w:id="135" w:name="ref-Krivitsky2008Fitting"/>
    <w:p>
      <w:pPr>
        <w:pStyle w:val="Bibliography"/>
      </w:pPr>
      <w:r>
        <w:t xml:space="preserve">Krivitsky, Pavel N. and Mark S. Handcock. 2008. “Fitting Position Latent Cluster Models for Social Networks with Latentnet.”</w:t>
      </w:r>
      <w:r>
        <w:t xml:space="preserve"> </w:t>
      </w:r>
      <w:r>
        <w:rPr>
          <w:i/>
        </w:rPr>
        <w:t xml:space="preserve">Journal of Statistical Software</w:t>
      </w:r>
      <w:r>
        <w:t xml:space="preserve"> </w:t>
      </w:r>
      <w:r>
        <w:t xml:space="preserve">24.</w:t>
      </w:r>
    </w:p>
    <w:bookmarkEnd w:id="135"/>
    <w:bookmarkStart w:id="136"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36"/>
    <w:bookmarkStart w:id="137"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37"/>
    <w:bookmarkStart w:id="138" w:name="ref-Morville2009Ambient"/>
    <w:p>
      <w:pPr>
        <w:pStyle w:val="Bibliography"/>
      </w:pPr>
      <w:r>
        <w:t xml:space="preserve">Morville, Peter. 2009.</w:t>
      </w:r>
      <w:r>
        <w:t xml:space="preserve"> </w:t>
      </w:r>
      <w:r>
        <w:rPr>
          <w:i/>
        </w:rPr>
        <w:t xml:space="preserve">Ambient Findability</w:t>
      </w:r>
      <w:r>
        <w:t xml:space="preserve">. O’Reilly.</w:t>
      </w:r>
    </w:p>
    <w:bookmarkEnd w:id="138"/>
    <w:bookmarkStart w:id="139"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39"/>
    <w:bookmarkStart w:id="140" w:name="ref-Newman2004Finding"/>
    <w:p>
      <w:pPr>
        <w:pStyle w:val="Bibliography"/>
      </w:pPr>
      <w:r>
        <w:t xml:space="preserve">Newman, M. E. J. and M. Girvan. 2004. “Finding and Evaluating Community Structure in Networks.”</w:t>
      </w:r>
      <w:r>
        <w:t xml:space="preserve"> </w:t>
      </w:r>
      <w:r>
        <w:rPr>
          <w:i/>
        </w:rPr>
        <w:t xml:space="preserve">Physical Review E</w:t>
      </w:r>
      <w:r>
        <w:t xml:space="preserve"> </w:t>
      </w:r>
      <w:r>
        <w:t xml:space="preserve">69(2):026113.</w:t>
      </w:r>
    </w:p>
    <w:bookmarkEnd w:id="140"/>
    <w:bookmarkStart w:id="141" w:name="ref-Pilkington2009evolution"/>
    <w:p>
      <w:pPr>
        <w:pStyle w:val="Bibliography"/>
      </w:pPr>
      <w:r>
        <w:t xml:space="preserve">Pilkington, Alan and Jack Meredith. 2009. “The Evolution of the Intellectual Structure of Operations Management—1980–2006: A Citation/Co-Citation Analysis.”</w:t>
      </w:r>
      <w:r>
        <w:t xml:space="preserve"> </w:t>
      </w:r>
      <w:r>
        <w:rPr>
          <w:i/>
        </w:rPr>
        <w:t xml:space="preserve">Journal of Operations Management</w:t>
      </w:r>
      <w:r>
        <w:t xml:space="preserve"> </w:t>
      </w:r>
      <w:r>
        <w:t xml:space="preserve">27(3):185–202.</w:t>
      </w:r>
    </w:p>
    <w:bookmarkEnd w:id="141"/>
    <w:bookmarkStart w:id="142" w:name="ref-Schreibman2014NonConsumptive"/>
    <w:p>
      <w:pPr>
        <w:pStyle w:val="Bibliography"/>
      </w:pPr>
      <w:r>
        <w:t xml:space="preserve">Schreibman, Susan. 2014. “Non-Consumptive Reading.” Pp. 148–65 in</w:t>
      </w:r>
      <w:r>
        <w:t xml:space="preserve"> </w:t>
      </w:r>
      <w:r>
        <w:rPr>
          <w:i/>
        </w:rPr>
        <w:t xml:space="preserve">From Literature to Cultural Literacy</w:t>
      </w:r>
      <w:r>
        <w:t xml:space="preserve">, edited by N. Segal and D. Koleva. London: Palgrave Macmillan UK.</w:t>
      </w:r>
    </w:p>
    <w:bookmarkEnd w:id="142"/>
    <w:bookmarkStart w:id="143"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43"/>
    <w:bookmarkStart w:id="144" w:name="ref-Serino2017Bridging"/>
    <w:p>
      <w:pPr>
        <w:pStyle w:val="Bibliography"/>
      </w:pPr>
      <w:r>
        <w:t xml:space="preserve">Serino, Marco, Daniela D’Ambrosio, and Giancarlo Ragozini. 2017. “Bridging Social Network Analysis and Field Theory Through Multidimensional Data Analysis: The Case of the Theatrical Field.”</w:t>
      </w:r>
      <w:r>
        <w:t xml:space="preserve"> </w:t>
      </w:r>
      <w:r>
        <w:rPr>
          <w:i/>
        </w:rPr>
        <w:t xml:space="preserve">Poetics</w:t>
      </w:r>
      <w:r>
        <w:t xml:space="preserve"> </w:t>
      </w:r>
      <w:r>
        <w:t xml:space="preserve">62:66–80.</w:t>
      </w:r>
    </w:p>
    <w:bookmarkEnd w:id="144"/>
    <w:bookmarkStart w:id="145"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6">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47">
    <w:p>
      <w:pPr>
        <w:pStyle w:val="FootnoteText"/>
      </w:pPr>
      <w:r>
        <w:rPr>
          <w:rStyle w:val="FootnoteReference"/>
        </w:rPr>
        <w:footnoteRef/>
      </w:r>
      <w:r>
        <w:t xml:space="preserve"> </w:t>
      </w:r>
      <w:r>
        <w:t xml:space="preserve">www.jstor.org/stable/10.2307/27909026</w:t>
      </w:r>
    </w:p>
  </w:footnote>
  <w:footnote w:id="49">
    <w:p>
      <w:pPr>
        <w:pStyle w:val="FootnoteText"/>
      </w:pPr>
      <w:r>
        <w:rPr>
          <w:rStyle w:val="FootnoteReference"/>
        </w:rPr>
        <w:footnoteRef/>
      </w:r>
      <w:r>
        <w:t xml:space="preserve"> </w:t>
      </w:r>
      <w:r>
        <w:t xml:space="preserve">www.jstor.org/stable/10.2307/43795866</w:t>
      </w:r>
    </w:p>
  </w:footnote>
  <w:footnote w:id="64">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69" Target="media/rId69.png" /><Relationship Type="http://schemas.openxmlformats.org/officeDocument/2006/relationships/image" Id="rId98" Target="media/rId98.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70" Target="media/rId70.png" /><Relationship Type="http://schemas.openxmlformats.org/officeDocument/2006/relationships/image" Id="rId113" Target="media/rId113.png" /><Relationship Type="http://schemas.openxmlformats.org/officeDocument/2006/relationships/image" Id="rId66" Target="media/rId66.png" /><Relationship Type="http://schemas.openxmlformats.org/officeDocument/2006/relationships/image" Id="rId100" Target="media/rId100.png" /><Relationship Type="http://schemas.openxmlformats.org/officeDocument/2006/relationships/image" Id="rId99" Target="media/rId99.png" /><Relationship Type="http://schemas.openxmlformats.org/officeDocument/2006/relationships/image" Id="rId112" Target="media/rId11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86" Target="https://www.jstor.org/stable/i40084238" TargetMode="External" /><Relationship Type="http://schemas.openxmlformats.org/officeDocument/2006/relationships/hyperlink" Id="rId87" Target="https://www.jstor.org/stable/i40084262" TargetMode="External" /><Relationship Type="http://schemas.openxmlformats.org/officeDocument/2006/relationships/hyperlink" Id="rId83"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86" Target="https://www.jstor.org/stable/i40084238" TargetMode="External" /><Relationship Type="http://schemas.openxmlformats.org/officeDocument/2006/relationships/hyperlink" Id="rId87" Target="https://www.jstor.org/stable/i40084262" TargetMode="External" /><Relationship Type="http://schemas.openxmlformats.org/officeDocument/2006/relationships/hyperlink" Id="rId83"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2019-07-13T04:41:58Z</dcterms:created>
  <dcterms:modified xsi:type="dcterms:W3CDTF">2019-07-13T04:41:58Z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2019-07-13</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