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86.png" ContentType="image/png"/>
  <Override PartName="/word/media/rId90.png" ContentType="image/png"/>
  <Override PartName="/word/media/rId124.png" ContentType="image/png"/>
  <Override PartName="/word/media/rId80.png" ContentType="image/png"/>
  <Override PartName="/word/media/rId74.png" ContentType="image/png"/>
  <Override PartName="/word/media/rId122.png" ContentType="image/png"/>
  <Override PartName="/word/media/rId72.png" ContentType="image/png"/>
  <Override PartName="/word/media/rId137.png" ContentType="image/png"/>
  <Override PartName="/word/media/rId48.png" ContentType="image/png"/>
  <Override PartName="/word/media/rId145.png" ContentType="image/png"/>
  <Override PartName="/word/media/rId104.png" ContentType="image/png"/>
  <Override PartName="/word/media/rId138.png" ContentType="image/png"/>
  <Override PartName="/word/media/rId170.png" ContentType="image/png"/>
  <Override PartName="/word/media/rId174.png" ContentType="image/png"/>
  <Override PartName="/word/media/rId100.png" ContentType="image/png"/>
  <Override PartName="/word/media/rId89.png" ContentType="image/png"/>
  <Override PartName="/word/media/rId88.png" ContentType="image/png"/>
  <Override PartName="/word/media/rId96.png" ContentType="image/png"/>
  <Override PartName="/word/media/rId151.png" ContentType="image/png"/>
  <Override PartName="/word/media/rId45.png" ContentType="image/png"/>
  <Override PartName="/word/media/rId140.png" ContentType="image/png"/>
  <Override PartName="/word/media/rId139.png" ContentType="image/png"/>
  <Override PartName="/word/media/rId135.png" ContentType="image/png"/>
  <Override PartName="/word/media/rId147.png" ContentType="image/png"/>
  <Override PartName="/word/media/rId150.png" ContentType="image/png"/>
  <Override PartName="/word/media/rId125.png" ContentType="image/png"/>
  <Override PartName="/word/media/rId94.png" ContentType="image/png"/>
  <Override PartName="/word/media/rId56.png" ContentType="image/png"/>
  <Override PartName="/word/media/rId57.png" ContentType="image/png"/>
  <Override PartName="/word/media/rId129.png" ContentType="image/png"/>
  <Override PartName="/word/media/rId84.png" ContentType="image/png"/>
  <Override PartName="/word/media/rId83.png" ContentType="image/png"/>
  <Override PartName="/word/media/rId134.png" ContentType="image/png"/>
  <Override PartName="/word/media/rId166.png" ContentType="image/png"/>
  <Override PartName="/word/media/rId41.png" ContentType="image/png"/>
  <Override PartName="/word/media/rId66.png" ContentType="image/png"/>
  <Override PartName="/word/media/rId108.png" ContentType="image/png"/>
  <Override PartName="/word/media/rId58.png" ContentType="image/png"/>
  <Override PartName="/word/media/rId75.png" ContentType="image/png"/>
  <Override PartName="/word/media/rId99.png" ContentType="image/png"/>
  <Override PartName="/word/media/rId169.png" ContentType="image/png"/>
  <Override PartName="/word/media/rId85.png" ContentType="image/png"/>
  <Override PartName="/word/media/rId163.png" ContentType="image/png"/>
  <Override PartName="/word/media/rId49.png" ContentType="image/png"/>
  <Override PartName="/word/media/rId154.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2019-09-02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5" w:name="ubiquity-and-esotericism-in-culture"/>
      <w:r>
        <w:t xml:space="preserve">Ubiquity and Esotericism in Culture</w:t>
      </w:r>
      <w:bookmarkEnd w:id="35"/>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6" w:name="discipline"/>
      <w:r>
        <w:t xml:space="preserve">Discipline</w:t>
      </w:r>
      <w:bookmarkEnd w:id="36"/>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7" w:name="history"/>
      <w:r>
        <w:t xml:space="preserve">History</w:t>
      </w:r>
      <w:bookmarkEnd w:id="37"/>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8" w:name="dis"/>
      <w:r>
        <w:t xml:space="preserve">Social Science Disciplines Today</w:t>
      </w:r>
      <w:bookmarkEnd w:id="38"/>
    </w:p>
    <w:p>
      <w:pPr>
        <w:pStyle w:val="Heading4"/>
      </w:pPr>
      <w:bookmarkStart w:id="39" w:name="abstract-1"/>
      <w:r>
        <w:t xml:space="preserve">Abstract</w:t>
      </w:r>
      <w:bookmarkEnd w:id="39"/>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0" w:name="keywords-1"/>
      <w:r>
        <w:t xml:space="preserve">Keywords</w:t>
      </w:r>
      <w:bookmarkEnd w:id="40"/>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1"/>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2" w:name="kd-dq1"/>
      <w:r>
        <w:t xml:space="preserve">JSTOR Journals</w:t>
      </w:r>
      <w:bookmarkEnd w:id="42"/>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3"/>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4" w:name="network-mode-projection"/>
      <w:r>
        <w:t xml:space="preserve">Network Mode Projection</w:t>
      </w:r>
      <w:bookmarkEnd w:id="44"/>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6" w:name="network-community-detection"/>
      <w:r>
        <w:t xml:space="preserve">Network Community Detection</w:t>
      </w:r>
      <w:bookmarkEnd w:id="46"/>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7" w:name="network-visualization"/>
      <w:r>
        <w:t xml:space="preserve">Network Visualization</w:t>
      </w:r>
      <w:bookmarkEnd w:id="47"/>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4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0" w:name="results"/>
      <w:r>
        <w:t xml:space="preserve">Results</w:t>
      </w:r>
      <w:bookmarkEnd w:id="50"/>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1" w:name="discussion"/>
      <w:r>
        <w:t xml:space="preserve">Discussion</w:t>
      </w:r>
      <w:bookmarkEnd w:id="51"/>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2" w:name="gen"/>
      <w:r>
        <w:t xml:space="preserve">Genre and the Literature</w:t>
      </w:r>
      <w:bookmarkEnd w:id="52"/>
    </w:p>
    <w:p>
      <w:pPr>
        <w:pStyle w:val="Heading4"/>
      </w:pPr>
      <w:bookmarkStart w:id="53" w:name="abstract-2"/>
      <w:r>
        <w:t xml:space="preserve">Abstract</w:t>
      </w:r>
      <w:bookmarkEnd w:id="53"/>
    </w:p>
    <w:p>
      <w:pPr>
        <w:pStyle w:val="FirstParagraph"/>
      </w:pPr>
      <w:r>
        <w:t xml:space="preserve">(ref:abs-gen)</w:t>
      </w:r>
    </w:p>
    <w:p>
      <w:pPr>
        <w:pStyle w:val="Heading4"/>
      </w:pPr>
      <w:bookmarkStart w:id="54" w:name="keywords-2"/>
      <w:r>
        <w:t xml:space="preserve">Keywords</w:t>
      </w:r>
      <w:bookmarkEnd w:id="54"/>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5" w:name="genre"/>
      <w:r>
        <w:t xml:space="preserve">Genre</w:t>
      </w:r>
      <w:bookmarkEnd w:id="55"/>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6</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CaptionedFigure"/>
      </w:pPr>
      <w:r>
        <w:drawing>
          <wp:inline>
            <wp:extent cx="4620126" cy="3696101"/>
            <wp:effectExtent b="0" l="0" r="0" t="0"/>
            <wp:docPr descr="Figure 6 Absolute count of term “genre”, 1901-2008."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Absolute count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7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8</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8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8"/>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8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59" w:name="method"/>
      <w:r>
        <w:t xml:space="preserve">Method</w:t>
      </w:r>
      <w:bookmarkEnd w:id="59"/>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0" w:name="distant-sampling"/>
      <w:r>
        <w:t xml:space="preserve">Distant sampling</w:t>
      </w:r>
      <w:bookmarkEnd w:id="60"/>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1"/>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2" w:name="no-cigar"/>
      <w:r>
        <w:t xml:space="preserve">No cigar</w:t>
      </w:r>
      <w:bookmarkEnd w:id="62"/>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3"/>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4" w:name="topic-models"/>
      <w:r>
        <w:t xml:space="preserve">Topic Models</w:t>
      </w:r>
      <w:bookmarkEnd w:id="64"/>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5" w:name="choosing-k"/>
      <w:r>
        <w:t xml:space="preserve">Choosing K</w:t>
      </w:r>
      <w:bookmarkEnd w:id="65"/>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6"/>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7" w:name="bias"/>
      <w:r>
        <w:t xml:space="preserve">Bias</w:t>
      </w:r>
      <w:bookmarkEnd w:id="67"/>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8" w:name="qualitative-cross-validation"/>
      <w:r>
        <w:t xml:space="preserve">Qualitative Cross Validation</w:t>
      </w:r>
      <w:bookmarkEnd w:id="68"/>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69" w:name="data"/>
      <w:r>
        <w:t xml:space="preserve">Data</w:t>
      </w:r>
      <w:bookmarkEnd w:id="69"/>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0"/>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9</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1"/>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CaptionedFigure"/>
      </w:pPr>
      <w:r>
        <w:drawing>
          <wp:inline>
            <wp:extent cx="4620126" cy="3696101"/>
            <wp:effectExtent b="0" l="0" r="0" t="0"/>
            <wp:docPr descr="Figure 9 Distribution of idiosyncracy, the proportion of document vocabularly dropped during pre-processing."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9 Distribution of idiosyncracy, the proportion of document vocabularly dropped during pre-processing.</w:t>
      </w:r>
    </w:p>
    <w:p>
      <w:pPr>
        <w:pStyle w:val="BodyText"/>
      </w:pPr>
      <w:r>
        <w:t xml:space="preserve">Figure</w:t>
      </w:r>
      <w:r>
        <w:t xml:space="preserve"> </w:t>
      </w:r>
      <w:r>
        <w:t xml:space="preserve">10</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3"/>
      </w:r>
      <w:r>
        <w:t xml:space="preserve">, a single page introduction in a special issue of</w:t>
      </w:r>
      <w:r>
        <w:t xml:space="preserve"> </w:t>
      </w:r>
      <w:r>
        <w:rPr>
          <w:i/>
        </w:rPr>
        <w:t xml:space="preserve">Literature/Film Quarterly</w:t>
      </w:r>
      <w:r>
        <w:t xml:space="preserve"> </w:t>
      </w:r>
      <w:r>
        <w:t xml:space="preserve">on genres.</w:t>
      </w:r>
    </w:p>
    <w:p>
      <w:pPr>
        <w:pStyle w:val="CaptionedFigure"/>
      </w:pPr>
      <w:r>
        <w:drawing>
          <wp:inline>
            <wp:extent cx="4620126" cy="3696101"/>
            <wp:effectExtent b="0" l="0" r="0" t="0"/>
            <wp:docPr descr="Figure 10 Distribution of log_{10} of the count of the term “genre” as a proportion of all terms in a text. Pluses indicate outliers."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10 Distribution of</w:t>
      </w:r>
      <w:r>
        <w:t xml:space="preserve"> </w:t>
      </w:r>
      <m:oMath>
        <m:r>
          <m:t>l</m:t>
        </m:r>
        <m:r>
          <m:t>o</m:t>
        </m:r>
        <m:sSub>
          <m:e>
            <m:r>
              <m:t>g</m:t>
            </m:r>
          </m:e>
          <m:sub>
            <m:r>
              <m:t>10</m:t>
            </m:r>
          </m:sub>
        </m:sSub>
      </m:oMath>
      <w:r>
        <w:t xml:space="preserve"> </w:t>
      </w:r>
      <w:r>
        <w:t xml:space="preserve">of the count of the term</w:t>
      </w:r>
      <w:r>
        <w:t xml:space="preserve"> </w:t>
      </w:r>
      <w:r>
        <w:t xml:space="preserve">“</w:t>
      </w:r>
      <w:r>
        <w:t xml:space="preserve">genre</w:t>
      </w:r>
      <w:r>
        <w:t xml:space="preserve">”</w:t>
      </w:r>
      <w:r>
        <w:t xml:space="preserve"> </w:t>
      </w:r>
      <w:r>
        <w:t xml:space="preserve">as a proportion of all terms in a text. Pluses indicate outliers.</w:t>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5"/>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6" w:name="estimation"/>
      <w:r>
        <w:t xml:space="preserve">Estimation</w:t>
      </w:r>
      <w:bookmarkEnd w:id="76"/>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7" w:name="diagnostics"/>
      <w:r>
        <w:t xml:space="preserve">Diagnostics</w:t>
      </w:r>
      <w:bookmarkEnd w:id="77"/>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8" w:name="lower-tail-probabilities"/>
      <w:r>
        <w:t xml:space="preserve">Lower tail probabilities</w:t>
      </w:r>
      <w:bookmarkEnd w:id="78"/>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79" w:name="ghost-probability"/>
      <w:r>
        <w:t xml:space="preserve">Ghost probability</w:t>
      </w:r>
      <w:bookmarkEnd w:id="79"/>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11</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CaptionedFigure"/>
      </w:pPr>
      <w:r>
        <w:drawing>
          <wp:inline>
            <wp:extent cx="4620126" cy="3696101"/>
            <wp:effectExtent b="0" l="0" r="0" t="0"/>
            <wp:docPr descr="Figure 11 Ghost probabilities, the sum of document proportion of terms predicted to be present but are actually missing, by document length."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Ghost probabilities, the sum of document proportion of terms predicted to be present but are actually missing, by document length.</w:t>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1" w:name="junk-terms"/>
      <w:r>
        <w:t xml:space="preserve">Junk terms</w:t>
      </w:r>
      <w:bookmarkEnd w:id="81"/>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2"/>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12</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12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12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13</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13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13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14</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4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5"/>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14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15</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CaptionedFigure"/>
      </w:pPr>
      <w:r>
        <w:drawing>
          <wp:inline>
            <wp:extent cx="5334000" cy="3429000"/>
            <wp:effectExtent b="0" l="0" r="0" t="0"/>
            <wp:docPr descr="Figure 15 Cumulative distribution of within topic term probabilities."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15 Cumulative distribution of within topic term probabilities.</w:t>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7" w:name="zero-threshhold"/>
      <w:r>
        <w:t xml:space="preserve">Zero threshhold</w:t>
      </w:r>
      <w:bookmarkEnd w:id="87"/>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16</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6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16 As K increases so does separation among junk (lower mode), weak (central mode), and strong (upper mode) topic by document probabilities, logit scale</w:t>
      </w:r>
    </w:p>
    <w:p>
      <w:pPr>
        <w:pStyle w:val="BodyText"/>
      </w:pPr>
      <w:r>
        <w:t xml:space="preserve">Similarly, Figure</w:t>
      </w:r>
      <w:r>
        <w:t xml:space="preserve"> </w:t>
      </w:r>
      <w:r>
        <w:t xml:space="preserve">17</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CaptionedFigure"/>
      </w:pPr>
      <w:r>
        <w:drawing>
          <wp:inline>
            <wp:extent cx="4620126" cy="3696101"/>
            <wp:effectExtent b="0" l="0" r="0" t="0"/>
            <wp:docPr descr="Figure 17 As K increases, curve flattens toward more higher and more lower term probabilities, logit scale."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17 As K increases, curve flattens toward more higher and more lower term probabilities, logit scale.</w:t>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18</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CaptionedFigure"/>
      </w:pPr>
      <w:r>
        <w:drawing>
          <wp:inline>
            <wp:extent cx="5334000" cy="3429000"/>
            <wp:effectExtent b="0" l="0" r="0" t="0"/>
            <wp:docPr descr="Figure 18 Cumulative distribution of within topic document probabilities, truncated at junk threshhold. Dashed line is linear fit to endpoints."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Cumulative distribution of within topic document probabilities, truncated at junk threshhold. Dashed line is linear fit to endpoints.</w:t>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1" w:name="topic-graphs"/>
      <w:r>
        <w:t xml:space="preserve">Topic Graphs</w:t>
      </w:r>
      <w:bookmarkEnd w:id="91"/>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2" w:name="concentration"/>
      <w:r>
        <w:t xml:space="preserve">Concentration</w:t>
      </w:r>
      <w:bookmarkEnd w:id="92"/>
    </w:p>
    <w:p>
      <w:pPr>
        <w:pStyle w:val="FirstParagraph"/>
      </w:pPr>
      <w:r>
        <w:t xml:space="preserve">Though it was possible to observe concentration during a consideration of junk vectors, now we will measure concentration directly. Figure</w:t>
      </w:r>
      <w:r>
        <w:t xml:space="preserve"> </w:t>
      </w:r>
      <w:r>
        <w:t xml:space="preserve">19</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9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19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20</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CaptionedFigure"/>
      </w:pPr>
      <w:r>
        <w:drawing>
          <wp:inline>
            <wp:extent cx="4620126" cy="3696101"/>
            <wp:effectExtent b="0" l="0" r="0" t="0"/>
            <wp:docPr descr="Figure 20 Topic concentrations (TC) within documents by TC within terms. Diamonds proportional to term frequency explained by each topic"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20 Topic concentrations (TC) within documents by TC within terms. Diamonds proportional to term frequency explained by each topic</w:t>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5" w:name="blind-qcv"/>
      <w:r>
        <w:t xml:space="preserve">Blind QCV</w:t>
      </w:r>
      <w:bookmarkEnd w:id="95"/>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CaptionedFigure"/>
      </w:pPr>
      <w:r>
        <w:drawing>
          <wp:inline>
            <wp:extent cx="4620126" cy="3696101"/>
            <wp:effectExtent b="0" l="0" r="0" t="0"/>
            <wp:docPr descr="Figure 21 Topic confusion network. Tied topics contained at least two errors in blind manual sorting test. Untied topics were perfectly separated. Colors represent a topic’s number of imperfect tests."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Topic confusion network. Tied topics contained at least two errors in blind manual sorting test. Untied topics were perfectly separated. Colors represent a topic’s number of imperfect tests.</w:t>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21</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7" w:name="topic-descent"/>
      <w:r>
        <w:t xml:space="preserve">Topic descent</w:t>
      </w:r>
      <w:bookmarkEnd w:id="97"/>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22</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8"/>
      </w:r>
    </w:p>
    <w:p>
      <w:pPr>
        <w:pStyle w:val="CaptionedFigure"/>
      </w:pPr>
      <w:r>
        <w:drawing>
          <wp:inline>
            <wp:extent cx="5334000" cy="3229319"/>
            <wp:effectExtent b="0" l="0" r="0" t="0"/>
            <wp:docPr descr="Figure 22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99"/>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22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23</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CaptionedFigure"/>
      </w:pPr>
      <w:r>
        <w:drawing>
          <wp:inline>
            <wp:extent cx="5334000" cy="3429000"/>
            <wp:effectExtent b="0" l="0" r="0" t="0"/>
            <wp:docPr descr="Figure 23 Top 40 term rank changes over topic 2 lineage. Blue are increasing, red decreasing, gray unchanged, and green solitary."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23 Top 40 term rank changes over topic 2 lineage. Blue are increasing, red decreasing, gray unchanged, and green solitary.</w:t>
      </w:r>
    </w:p>
    <w:p>
      <w:pPr>
        <w:pStyle w:val="Heading3"/>
      </w:pPr>
      <w:bookmarkStart w:id="101" w:name="summary"/>
      <w:r>
        <w:t xml:space="preserve">Summary</w:t>
      </w:r>
      <w:bookmarkEnd w:id="101"/>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2" w:name="topic-interpretation"/>
      <w:r>
        <w:t xml:space="preserve">Topic interpretation</w:t>
      </w:r>
      <w:bookmarkEnd w:id="102"/>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3" w:name="journals"/>
      <w:r>
        <w:t xml:space="preserve">Journals</w:t>
      </w:r>
      <w:bookmarkEnd w:id="103"/>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24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2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Journal Topic Associations</w:t>
      </w:r>
    </w:p>
    <w:p>
      <w:pPr>
        <w:pStyle w:val="Heading3"/>
      </w:pPr>
      <w:bookmarkStart w:id="105" w:name="bellwether-texts"/>
      <w:r>
        <w:t xml:space="preserve">Bellwether texts</w:t>
      </w:r>
      <w:bookmarkEnd w:id="105"/>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6" w:name="terms"/>
      <w:r>
        <w:t xml:space="preserve">Terms</w:t>
      </w:r>
      <w:bookmarkEnd w:id="106"/>
    </w:p>
    <w:p>
      <w:pPr>
        <w:pStyle w:val="FirstParagraph"/>
      </w:pPr>
      <w:r>
        <w:t xml:space="preserve">(ref:genr-mod-viz) Topic Term Explorer, K=10.</w:t>
      </w:r>
      <w:r>
        <w:t xml:space="preserve"> </w:t>
      </w:r>
      <w:hyperlink r:id="rId107">
        <w:r>
          <w:rPr>
            <w:i/>
            <w:rStyle w:val="Hyperlink"/>
          </w:rPr>
          <w:t xml:space="preserve">Interactive pop-out.</w:t>
        </w:r>
      </w:hyperlink>
    </w:p>
    <w:p>
      <w:pPr>
        <w:pStyle w:val="CaptionedFigure"/>
      </w:pPr>
      <w:r>
        <w:drawing>
          <wp:inline>
            <wp:extent cx="5334000" cy="3419075"/>
            <wp:effectExtent b="0" l="0" r="0" t="0"/>
            <wp:docPr descr="Figure 25 (ref:genr-mod-viz)" title="" id="1" name="Picture"/>
            <a:graphic>
              <a:graphicData uri="http://schemas.openxmlformats.org/drawingml/2006/picture">
                <pic:pic>
                  <pic:nvPicPr>
                    <pic:cNvPr descr="img/genr-mod-viz.png" id="0" name="Picture"/>
                    <pic:cNvPicPr>
                      <a:picLocks noChangeArrowheads="1" noChangeAspect="1"/>
                    </pic:cNvPicPr>
                  </pic:nvPicPr>
                  <pic:blipFill>
                    <a:blip r:embed="rId108"/>
                    <a:stretch>
                      <a:fillRect/>
                    </a:stretch>
                  </pic:blipFill>
                  <pic:spPr bwMode="auto">
                    <a:xfrm>
                      <a:off x="0" y="0"/>
                      <a:ext cx="5334000" cy="3419075"/>
                    </a:xfrm>
                    <a:prstGeom prst="rect">
                      <a:avLst/>
                    </a:prstGeom>
                    <a:noFill/>
                    <a:ln w="9525">
                      <a:noFill/>
                      <a:headEnd/>
                      <a:tailEnd/>
                    </a:ln>
                  </pic:spPr>
                </pic:pic>
              </a:graphicData>
            </a:graphic>
          </wp:inline>
        </w:drawing>
      </w:r>
    </w:p>
    <w:p>
      <w:pPr>
        <w:pStyle w:val="ImageCaption"/>
      </w:pPr>
      <w:r>
        <w:t xml:space="preserve">Figure 25 (ref:genr-mod-viz)</w:t>
      </w:r>
    </w:p>
    <w:p>
      <w:pPr>
        <w:pStyle w:val="BodyText"/>
      </w:pPr>
      <w:r>
        <w:t xml:space="preserve">The topic by term matrix is unwieldy; Figure</w:t>
      </w:r>
      <w:r>
        <w:t xml:space="preserve"> </w:t>
      </w:r>
      <w:r>
        <w:t xml:space="preserve">25</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9" w:name="dossiers"/>
      <w:r>
        <w:t xml:space="preserve">Dossiers</w:t>
      </w:r>
      <w:bookmarkEnd w:id="109"/>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10" w:name="topic-1-students"/>
      <w:r>
        <w:t xml:space="preserve">Topic 1,</w:t>
      </w:r>
      <w:r>
        <w:t xml:space="preserve"> </w:t>
      </w:r>
      <w:r>
        <w:rPr>
          <w:i/>
        </w:rPr>
        <w:t xml:space="preserve">students</w:t>
      </w:r>
      <w:bookmarkEnd w:id="110"/>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1" w:name="topic-2-god"/>
      <w:r>
        <w:t xml:space="preserve">Topic 2,</w:t>
      </w:r>
      <w:r>
        <w:t xml:space="preserve"> </w:t>
      </w:r>
      <w:r>
        <w:rPr>
          <w:i/>
        </w:rPr>
        <w:t xml:space="preserve">god</w:t>
      </w:r>
      <w:bookmarkEnd w:id="111"/>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2" w:name="topic-3-chinese"/>
      <w:r>
        <w:t xml:space="preserve">Topic 3,</w:t>
      </w:r>
      <w:r>
        <w:t xml:space="preserve"> </w:t>
      </w:r>
      <w:r>
        <w:rPr>
          <w:i/>
        </w:rPr>
        <w:t xml:space="preserve">chinese</w:t>
      </w:r>
      <w:bookmarkEnd w:id="112"/>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3"/>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4" w:name="topic-4-fiction"/>
      <w:r>
        <w:t xml:space="preserve">Topic 4,</w:t>
      </w:r>
      <w:r>
        <w:t xml:space="preserve"> </w:t>
      </w:r>
      <w:r>
        <w:rPr>
          <w:i/>
        </w:rPr>
        <w:t xml:space="preserve">fiction</w:t>
      </w:r>
      <w:bookmarkEnd w:id="114"/>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5" w:name="topic-5-film"/>
      <w:r>
        <w:t xml:space="preserve">Topic 5,</w:t>
      </w:r>
      <w:r>
        <w:t xml:space="preserve"> </w:t>
      </w:r>
      <w:r>
        <w:rPr>
          <w:i/>
        </w:rPr>
        <w:t xml:space="preserve">film</w:t>
      </w:r>
      <w:bookmarkEnd w:id="115"/>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6" w:name="topic-6-music"/>
      <w:r>
        <w:t xml:space="preserve">Topic 6,</w:t>
      </w:r>
      <w:r>
        <w:t xml:space="preserve"> </w:t>
      </w:r>
      <w:r>
        <w:rPr>
          <w:i/>
        </w:rPr>
        <w:t xml:space="preserve">music</w:t>
      </w:r>
      <w:bookmarkEnd w:id="116"/>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7" w:name="topic-7-women"/>
      <w:r>
        <w:t xml:space="preserve">Topic 7,</w:t>
      </w:r>
      <w:r>
        <w:t xml:space="preserve"> </w:t>
      </w:r>
      <w:r>
        <w:rPr>
          <w:i/>
        </w:rPr>
        <w:t xml:space="preserve">women</w:t>
      </w:r>
      <w:bookmarkEnd w:id="117"/>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8" w:name="topic-8-les"/>
      <w:r>
        <w:t xml:space="preserve">Topic 8,</w:t>
      </w:r>
      <w:r>
        <w:t xml:space="preserve"> </w:t>
      </w:r>
      <w:r>
        <w:rPr>
          <w:i/>
        </w:rPr>
        <w:t xml:space="preserve">les</w:t>
      </w:r>
      <w:bookmarkEnd w:id="118"/>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9" w:name="topic-9-genre"/>
      <w:r>
        <w:t xml:space="preserve">Topic 9,</w:t>
      </w:r>
      <w:r>
        <w:t xml:space="preserve"> </w:t>
      </w:r>
      <w:r>
        <w:rPr>
          <w:i/>
        </w:rPr>
        <w:t xml:space="preserve">genre</w:t>
      </w:r>
      <w:bookmarkEnd w:id="119"/>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20" w:name="topic-10-painting"/>
      <w:r>
        <w:t xml:space="preserve">Topic 10,</w:t>
      </w:r>
      <w:r>
        <w:t xml:space="preserve"> </w:t>
      </w:r>
      <w:r>
        <w:rPr>
          <w:i/>
        </w:rPr>
        <w:t xml:space="preserve">painting</w:t>
      </w:r>
      <w:bookmarkEnd w:id="120"/>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1" w:name="topic-clusters"/>
      <w:r>
        <w:t xml:space="preserve">Topic clusters</w:t>
      </w:r>
      <w:bookmarkEnd w:id="121"/>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26</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26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2"/>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26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3" w:name="reading-strata"/>
      <w:r>
        <w:t xml:space="preserve">Reading strata</w:t>
      </w:r>
      <w:bookmarkEnd w:id="123"/>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26</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27</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27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27 Reading Strata and Sampled Texts.</w:t>
      </w:r>
    </w:p>
    <w:p>
      <w:pPr>
        <w:pStyle w:val="CaptionedFigure"/>
      </w:pPr>
      <w:r>
        <w:drawing>
          <wp:inline>
            <wp:extent cx="5334000" cy="3429000"/>
            <wp:effectExtent b="0" l="0" r="0" t="0"/>
            <wp:docPr descr="Figure 28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28 Topic locations of sociology texts (n = 182)</w:t>
      </w:r>
    </w:p>
    <w:p>
      <w:pPr>
        <w:pStyle w:val="Heading2"/>
      </w:pPr>
      <w:bookmarkStart w:id="126" w:name="results-1"/>
      <w:r>
        <w:t xml:space="preserve">Results</w:t>
      </w:r>
      <w:bookmarkEnd w:id="126"/>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The easiest way to test the expectation that perfectly classified documents are actually biased upward by idiosyncracy is to look directly at how the words they contain are classified. For clarity we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w:t>
      </w:r>
      <w:r>
        <w:t xml:space="preserve"> </w:t>
      </w:r>
      <w:hyperlink w:anchor="network-community-detection">
        <w:r>
          <w:rPr>
            <w:rStyle w:val="Hyperlink"/>
          </w:rPr>
          <w:t xml:space="preserve">Chapter 2</w:t>
        </w:r>
      </w:hyperlink>
      <w:r>
        <w:t xml:space="preserve">. Within the resulting clusters, which will contain terms and topics, we sort items in decreasing order of their total probability, meaning the strongest topics and most frequent terms will be listed first. Given these lists, we can easily see whether the terms in a text assigned to a given topic are really reflective of our theory of that topic.</w:t>
      </w:r>
    </w:p>
    <w:p>
      <w:pPr>
        <w:pStyle w:val="BodyText"/>
      </w:pPr>
      <w:r>
        <w:t xml:space="preserve">Limiting ourselves to the social science subsample, let’s compare the most highly ranked music article, Henry’s</w:t>
      </w:r>
      <w:r>
        <w:t xml:space="preserve"> </w:t>
      </w:r>
      <w:r>
        <w:t xml:space="preserve">“</w:t>
      </w:r>
      <w:r>
        <w:t xml:space="preserve">Social Structure and Music: Correlating Musical Genres and Social Categories in Bhojpuri-Speaking India</w:t>
      </w:r>
      <w:r>
        <w:t xml:space="preserve">”</w:t>
      </w:r>
      <w:r>
        <w:t xml:space="preserve"> </w:t>
      </w:r>
      <w:r>
        <w:t xml:space="preserve">(</w:t>
      </w:r>
      <w:hyperlink r:id="rId127">
        <w:r>
          <w:rPr>
            <w:rStyle w:val="Hyperlink"/>
          </w:rPr>
          <w:t xml:space="preserve">#6249</w:t>
        </w:r>
      </w:hyperlink>
      <w:r>
        <w:t xml:space="preserve">), which is estimated to be 79 percent about music, with the lower ranked Rowe’s</w:t>
      </w:r>
      <w:r>
        <w:t xml:space="preserve"> </w:t>
      </w:r>
      <w:r>
        <w:t xml:space="preserve">“</w:t>
      </w:r>
      <w:r>
        <w:t xml:space="preserve">Vitamin S: Messages, Music and Video— an Analysis of the Sexual Content and Perceptions of Sexuality Communicated in Popular Jamaican Music Videos</w:t>
      </w:r>
      <w:r>
        <w:t xml:space="preserve">”</w:t>
      </w:r>
      <w:r>
        <w:t xml:space="preserve"> </w:t>
      </w:r>
      <w:r>
        <w:t xml:space="preserve">(</w:t>
      </w:r>
      <w:hyperlink r:id="rId128">
        <w:r>
          <w:rPr>
            <w:rStyle w:val="Hyperlink"/>
          </w:rPr>
          <w:t xml:space="preserve">#3623</w:t>
        </w:r>
      </w:hyperlink>
      <w:r>
        <w:t xml:space="preserve">), which is estimated to be 39 percent about music. Figure</w:t>
      </w:r>
      <w:r>
        <w:t xml:space="preserve"> </w:t>
      </w:r>
      <w:r>
        <w:t xml:space="preserve">29</w:t>
      </w:r>
      <w:r>
        <w:t xml:space="preserve"> </w:t>
      </w:r>
      <w:r>
        <w:t xml:space="preserve">plots some of the words from each of these texts. Shown are the words for which topic 6 was their highest probability. Note that several overlapping words are ommitted for legibility, so this is illustrative of the content. Each of the words was inspected and judged to be relevant to music, maybe relevant, and not relevant. In the yes category are terms with a clear musical reference such as performance, cultural, popular, and entertainment. In the maybe category are words that are plausibly related to music but apper to refer to one or more suppressed topics. Religious and youth, for instance, belong to different domains even if they make sense in combination with music. In the no category are words that are either idiosyncratic to the text (like India and Jamaica) or are very general (like number and examples). Words at the same vertical location contribute equally to the total topic score for each text, and while the yes words have a higher mean probability there is also considerable overlap with the less revelant categories of terms.</w:t>
      </w:r>
    </w:p>
    <w:p>
      <w:pPr>
        <w:pStyle w:val="CaptionedFigure"/>
      </w:pPr>
      <w:r>
        <w:drawing>
          <wp:inline>
            <wp:extent cx="4620126" cy="4620126"/>
            <wp:effectExtent b="0" l="0" r="0" t="0"/>
            <wp:docPr descr="Figure 29 Terms estimated from music topic and present in text, by document probability and relevance to music. Document 6249 is 79 percent and document 39 percent about music. Some terms ommitted to prevent overlap." title="" id="1" name="Picture"/>
            <a:graphic>
              <a:graphicData uri="http://schemas.openxmlformats.org/drawingml/2006/picture">
                <pic:pic>
                  <pic:nvPicPr>
                    <pic:cNvPr descr="ambrose_dissertation_files/figure-docx/txt-com-1.png" id="0" name="Picture"/>
                    <pic:cNvPicPr>
                      <a:picLocks noChangeArrowheads="1" noChangeAspect="1"/>
                    </pic:cNvPicPr>
                  </pic:nvPicPr>
                  <pic:blipFill>
                    <a:blip r:embed="rId129"/>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29 Terms estimated from music topic and present in text, by document probability and relevance to music. Document 6249 is 79 percent and document 39 percent about music. Some terms ommitted to prevent overlap.</w:t>
      </w:r>
    </w:p>
    <w:p>
      <w:pPr>
        <w:pStyle w:val="BodyText"/>
      </w:pPr>
      <w:r>
        <w:t xml:space="preserve">We may now test the expectation that the bellwether texts, those with topic probabilites close to one, contain more classification errors than mixed texts with weaker classifications. Table</w:t>
      </w:r>
      <w:r>
        <w:t xml:space="preserve"> </w:t>
      </w:r>
      <w:r>
        <w:t xml:space="preserve">20</w:t>
      </w:r>
      <w:r>
        <w:t xml:space="preserve"> </w:t>
      </w:r>
      <w:r>
        <w:t xml:space="preserve">compares the sums of the probabilities for each text by the music relevance categories. The estimated topic proportion of text 6249 is double that of text 3623. The sum of probabilites of only the words that actually appear in each text is much lower than the estimate; almost three quarters of the estimate are ghost probabilities accruing from terms that are not actually present in the text. Broken out by relevance category, the true classification portion is slightly lower. In the case of 6249, of the original 79 percent topic score, 17 are undeniably relevant to music.</w:t>
      </w:r>
    </w:p>
    <w:p>
      <w:pPr>
        <w:pStyle w:val="BodyText"/>
      </w:pPr>
      <w:r>
        <w:t xml:space="preserve">If bellwether texts had a higher rate of classification errors than lower ranked texts then their percentage of false positives would be higher. This can be seen in the number in parantheses, which standardizes the left hand column to sum to 100. At least when comparing these two texts, there appears to be no difference in the false positive (no) rate, which for both is between 11 and 12 percent. To be sure would require manual coding of a large number of texts, which is beyond scope for the current project. Suffice to say that the issue of idiosyncracy contaminating topic vectors is real and in these cases created a bias of about ten percent of the estimated topic probability when considering only terms present in the text. The proportions deriving from words not in the texts accounts for a much larger portion of the bias.</w:t>
      </w:r>
    </w:p>
    <w:p>
      <w:pPr>
        <w:pStyle w:val="Compact"/>
      </w:pPr>
      <w:r>
        <w:t xml:space="preserve">(#tab:txt-comt)</w:t>
      </w:r>
      <w:r>
        <w:t xml:space="preserve">Document percentage of music terms (percentage of music share) relevant to music.</w:t>
      </w:r>
    </w:p>
    <w:p>
      <w:pPr>
        <w:pStyle w:val="Compact"/>
      </w:pPr>
      <w:r>
        <w:t xml:space="preserve">6249</w:t>
      </w:r>
    </w:p>
    <w:p>
      <w:pPr>
        <w:pStyle w:val="Compact"/>
      </w:pPr>
      <w:r>
        <w:t xml:space="preserve">3623</w:t>
      </w:r>
    </w:p>
    <w:p>
      <w:pPr>
        <w:pStyle w:val="Compact"/>
      </w:pPr>
      <w:r>
        <w:t xml:space="preserve">yes</w:t>
      </w:r>
    </w:p>
    <w:p>
      <w:pPr>
        <w:pStyle w:val="Compact"/>
      </w:pPr>
      <w:r>
        <w:t xml:space="preserve">16.87</w:t>
      </w:r>
    </w:p>
    <w:p>
      <w:pPr>
        <w:pStyle w:val="Compact"/>
      </w:pPr>
      <w:r>
        <w:t xml:space="preserve">(77.35)</w:t>
      </w:r>
    </w:p>
    <w:p>
      <w:pPr>
        <w:pStyle w:val="Compact"/>
      </w:pPr>
      <w:r>
        <w:t xml:space="preserve">8.97</w:t>
      </w:r>
    </w:p>
    <w:p>
      <w:pPr>
        <w:pStyle w:val="Compact"/>
      </w:pPr>
      <w:r>
        <w:t xml:space="preserve">(78.07)</w:t>
      </w:r>
    </w:p>
    <w:p>
      <w:pPr>
        <w:pStyle w:val="Compact"/>
      </w:pPr>
      <w:r>
        <w:t xml:space="preserve">maybe</w:t>
      </w:r>
    </w:p>
    <w:p>
      <w:pPr>
        <w:pStyle w:val="Compact"/>
      </w:pPr>
      <w:r>
        <w:t xml:space="preserve">2.5</w:t>
      </w:r>
    </w:p>
    <w:p>
      <w:pPr>
        <w:pStyle w:val="Compact"/>
      </w:pPr>
      <w:r>
        <w:t xml:space="preserve">(11.46)</w:t>
      </w:r>
    </w:p>
    <w:p>
      <w:pPr>
        <w:pStyle w:val="Compact"/>
      </w:pPr>
      <w:r>
        <w:t xml:space="preserve">1.16</w:t>
      </w:r>
    </w:p>
    <w:p>
      <w:pPr>
        <w:pStyle w:val="Compact"/>
      </w:pPr>
      <w:r>
        <w:t xml:space="preserve">(10.1)</w:t>
      </w:r>
    </w:p>
    <w:p>
      <w:pPr>
        <w:pStyle w:val="Compact"/>
      </w:pPr>
      <w:r>
        <w:t xml:space="preserve">no</w:t>
      </w:r>
    </w:p>
    <w:p>
      <w:pPr>
        <w:pStyle w:val="Compact"/>
      </w:pPr>
      <w:r>
        <w:t xml:space="preserve">2.44</w:t>
      </w:r>
    </w:p>
    <w:p>
      <w:pPr>
        <w:pStyle w:val="Compact"/>
      </w:pPr>
      <w:r>
        <w:t xml:space="preserve">(11.19)</w:t>
      </w:r>
    </w:p>
    <w:p>
      <w:pPr>
        <w:pStyle w:val="Compact"/>
      </w:pPr>
      <w:r>
        <w:t xml:space="preserve">1.36</w:t>
      </w:r>
    </w:p>
    <w:p>
      <w:pPr>
        <w:pStyle w:val="Compact"/>
      </w:pPr>
      <w:r>
        <w:t xml:space="preserve">(11.84)</w:t>
      </w:r>
    </w:p>
    <w:p>
      <w:pPr>
        <w:pStyle w:val="Compact"/>
      </w:pPr>
      <w:r>
        <w:t xml:space="preserve">Total</w:t>
      </w:r>
    </w:p>
    <w:p>
      <w:pPr>
        <w:pStyle w:val="Compact"/>
      </w:pPr>
      <w:r>
        <w:t xml:space="preserve">21.81</w:t>
      </w:r>
    </w:p>
    <w:p>
      <w:pPr>
        <w:pStyle w:val="Compact"/>
      </w:pPr>
      <w:r>
        <w:t xml:space="preserve">(100)</w:t>
      </w:r>
    </w:p>
    <w:p>
      <w:pPr>
        <w:pStyle w:val="Compact"/>
      </w:pPr>
      <w:r>
        <w:t xml:space="preserve">11.49</w:t>
      </w:r>
    </w:p>
    <w:p>
      <w:pPr>
        <w:pStyle w:val="Compact"/>
      </w:pPr>
      <w:r>
        <w:t xml:space="preserve">(100.01)</w:t>
      </w:r>
    </w:p>
    <w:p>
      <w:pPr>
        <w:pStyle w:val="Compact"/>
      </w:pPr>
      <w:r>
        <w:t xml:space="preserve">Topic Proportion</w:t>
      </w:r>
    </w:p>
    <w:p>
      <w:pPr>
        <w:pStyle w:val="Compact"/>
      </w:pPr>
      <w:r>
        <w:t xml:space="preserve">79</w:t>
      </w:r>
    </w:p>
    <w:p>
      <w:pPr>
        <w:pStyle w:val="Compact"/>
      </w:pPr>
      <w:r>
        <w:t xml:space="preserve">39</w:t>
      </w:r>
    </w:p>
    <w:p>
      <w:pPr>
        <w:pStyle w:val="Compact"/>
      </w:pPr>
      <w:r>
        <w:t xml:space="preserve">Adjusted Topic Proportion</w:t>
      </w:r>
    </w:p>
    <w:p>
      <w:pPr>
        <w:pStyle w:val="Compact"/>
      </w:pPr>
      <w:r>
        <w:t xml:space="preserve">89</w:t>
      </w:r>
    </w:p>
    <w:p>
      <w:pPr>
        <w:pStyle w:val="Compact"/>
      </w:pPr>
      <w:r>
        <w:t xml:space="preserve">50</w:t>
      </w:r>
    </w:p>
    <w:p>
      <w:pPr>
        <w:pStyle w:val="BodyText"/>
      </w:pPr>
      <w:r>
        <w:t xml:space="preserve">Notwithstanding these prima facie quantiative findings, the content of the no list for each text are not entirely comparable. Text 6249 is about local markets for music in a state in India in the 1970s. The vocabularly relating to Indian culture, including references to Hinduism and Islam, found no home in another topic, even in topic 2 which is ostensibly about religion, and so wound up being categorized along with music. Text 3623 is about sexual imagery in Jamaican music videos. Save for the term</w:t>
      </w:r>
      <w:r>
        <w:t xml:space="preserve"> </w:t>
      </w:r>
      <w:r>
        <w:t xml:space="preserve">“</w:t>
      </w:r>
      <w:r>
        <w:t xml:space="preserve">Jamaica</w:t>
      </w:r>
      <w:r>
        <w:t xml:space="preserve">”</w:t>
      </w:r>
      <w:r>
        <w:t xml:space="preserve">, the no list contains terms that have general meanings. There is no obvious idiosyncratic content in its no list. The unique quality of this text was its concern with HIV and sexual behavior. Those medically relevant terms do not have a topic of their own, but in this case the idiosyncracy was allocated to one this text’s other two topic assignments, either topic 5 (film) or topic 7 (women). If in each text we find both a generic and a unique story, the topic model is not designed to help us model the unique portion.</w:t>
      </w:r>
    </w:p>
    <w:p>
      <w:pPr>
        <w:pStyle w:val="Heading1"/>
      </w:pPr>
      <w:bookmarkStart w:id="130" w:name="voc"/>
      <w:r>
        <w:t xml:space="preserve">Vocabularies of Anthropology and Sociology, 1888-1922</w:t>
      </w:r>
      <w:bookmarkEnd w:id="130"/>
    </w:p>
    <w:p>
      <w:pPr>
        <w:pStyle w:val="Heading4"/>
      </w:pPr>
      <w:bookmarkStart w:id="131" w:name="abstract-3"/>
      <w:r>
        <w:t xml:space="preserve">Abstract</w:t>
      </w:r>
      <w:bookmarkEnd w:id="131"/>
    </w:p>
    <w:p>
      <w:pPr>
        <w:pStyle w:val="FirstParagraph"/>
      </w:pPr>
      <w:r>
        <w:t xml:space="preserve">Knowledge development of journals in sociology and anthropology is measured as the change in topic prevalence over time.</w:t>
      </w:r>
    </w:p>
    <w:p>
      <w:pPr>
        <w:pStyle w:val="Heading4"/>
      </w:pPr>
      <w:bookmarkStart w:id="132" w:name="keywords-3"/>
      <w:r>
        <w:t xml:space="preserve">Keywords</w:t>
      </w:r>
      <w:bookmarkEnd w:id="132"/>
    </w:p>
    <w:p>
      <w:pPr>
        <w:pStyle w:val="FirstParagraph"/>
      </w:pPr>
      <w:r>
        <w:t xml:space="preserve">sociology of knowledge, topic modeling, history of social science</w:t>
      </w:r>
    </w:p>
    <w:p>
      <w:r>
        <w:pict>
          <v:rect style="width:0;height:1.5pt" o:hralign="center" o:hrstd="t" o:hr="t"/>
        </w:pict>
      </w:r>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 distant reading 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subjectivity of a particular person’s reading of history.</w:t>
      </w:r>
    </w:p>
    <w:p>
      <w:pPr>
        <w:pStyle w:val="BodyText"/>
      </w:pPr>
      <w:r>
        <w:t xml:space="preserve">Computational text analysis (CTA)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 historical vocabularies 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Heading2"/>
      </w:pPr>
      <w:bookmarkStart w:id="133" w:name="social-science-history-in-context"/>
      <w:r>
        <w:t xml:space="preserve">Social science history in context</w:t>
      </w:r>
      <w:bookmarkEnd w:id="133"/>
    </w:p>
    <w:p>
      <w:pPr>
        <w:pStyle w:val="FirstParagraph"/>
      </w:pPr>
      <w:r>
        <w:t xml:space="preserve">Below we will attempt a distant reading of journals in the disciplines of sociology and anthropology. First, however, it will be helpful to put the development of these professions into some historical context.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In the interwar periods the leading structural changes tended to be economic. Where wars were ruptual moments that stalled development across many sectors of society, the attendant growth of military capacity also tended to lead to expansions of government, infrastructure, and even education via the training remaining with veterans. The trememdous strain on civilian life in terms of labor shortages during the Civil War thrust women into labor roles outside of the home, expanding the scope of their integration into the economy and public life even after returning to domestic roles as traditional family life was reconstituted. Drawing on economic histories Zucker</w:t>
      </w:r>
      <w:r>
        <w:t xml:space="preserve"> </w:t>
      </w:r>
      <w:r>
        <w:t xml:space="preserve">(</w:t>
      </w:r>
      <w:hyperlink w:anchor="ref-Zucker1983Organizations">
        <w:r>
          <w:rPr>
            <w:rStyle w:val="Hyperlink"/>
          </w:rPr>
          <w:t xml:space="preserve">1983</w:t>
        </w:r>
      </w:hyperlink>
      <w:r>
        <w:t xml:space="preserve">)</w:t>
      </w:r>
      <w:r>
        <w:t xml:space="preserve"> </w:t>
      </w:r>
      <w:r>
        <w:t xml:space="preserve">has shown a secular trend in the transitions of American labor from self and often family-based employment to wage or salaried labor in organizations. As the organizational form diffused the old bases of trust in kinship networks were supplanted by mechanisms of communication and control oriented toward formal procedures rather than personal commitments</w:t>
      </w:r>
      <w:r>
        <w:t xml:space="preserve"> </w:t>
      </w:r>
      <w:r>
        <w:t xml:space="preserve">(Zucker</w:t>
      </w:r>
      <w:r>
        <w:t xml:space="preserve"> </w:t>
      </w:r>
      <w:hyperlink w:anchor="ref-Zucker1986Production">
        <w:r>
          <w:rPr>
            <w:rStyle w:val="Hyperlink"/>
          </w:rPr>
          <w:t xml:space="preserve">1986</w:t>
        </w:r>
      </w:hyperlink>
      <w:r>
        <w:t xml:space="preserve">)</w:t>
      </w:r>
      <w:r>
        <w:t xml:space="preserve">. This new kind of trust was based in the perceived fairness of rules, procedures, and contracts as well as in the new intermediary role of managers.</w:t>
      </w:r>
    </w:p>
    <w:p>
      <w:pPr>
        <w:pStyle w:val="CaptionedFigure"/>
      </w:pPr>
      <w:r>
        <w:drawing>
          <wp:inline>
            <wp:extent cx="5334000" cy="3429000"/>
            <wp:effectExtent b="0" l="0" r="0" t="0"/>
            <wp:docPr descr="Figure 30 Shift from self-employment to wage-labor in United States. Source: Table 4, Zucker :15(1983:15). Illiteracy Source: Table 6, Snyder :21(1993:21)" title="" id="1" name="Picture"/>
            <a:graphic>
              <a:graphicData uri="http://schemas.openxmlformats.org/drawingml/2006/picture">
                <pic:pic>
                  <pic:nvPicPr>
                    <pic:cNvPr descr="ambrose_dissertation_files/figure-docx/zuck1-1.png" id="0" name="Picture"/>
                    <pic:cNvPicPr>
                      <a:picLocks noChangeArrowheads="1" noChangeAspect="1"/>
                    </pic:cNvPicPr>
                  </pic:nvPicPr>
                  <pic:blipFill>
                    <a:blip r:embed="rId13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30 Shift from self-employment to wage-labor in United States. Source: Table 4, Zucker</w:t>
      </w:r>
      <w:r>
        <w:t xml:space="preserve"> </w:t>
      </w:r>
      <w:r>
        <w:t xml:space="preserve">(</w:t>
      </w:r>
      <w:hyperlink w:anchor="ref-Zucker1983Organizations">
        <w:r>
          <w:rPr>
            <w:rStyle w:val="Hyperlink"/>
          </w:rPr>
          <w:t xml:space="preserve">1983</w:t>
        </w:r>
      </w:hyperlink>
      <w:r>
        <w:t xml:space="preserve">:15)</w:t>
      </w:r>
      <w:r>
        <w:t xml:space="preserve">. Illiteracy Source: Table 6, Snyder</w:t>
      </w:r>
      <w:r>
        <w:t xml:space="preserve"> </w:t>
      </w:r>
      <w:r>
        <w:t xml:space="preserve">(</w:t>
      </w:r>
      <w:hyperlink w:anchor="ref-Snyder1993120">
        <w:r>
          <w:rPr>
            <w:rStyle w:val="Hyperlink"/>
          </w:rPr>
          <w:t xml:space="preserve">1993</w:t>
        </w:r>
      </w:hyperlink>
      <w:r>
        <w:t xml:space="preserve">:21)</w:t>
      </w:r>
    </w:p>
    <w:p>
      <w:pPr>
        <w:pStyle w:val="BodyText"/>
      </w:pPr>
      <w:r>
        <w:t xml:space="preserve">The use of procedural trust to organize production also heightened the penalty to illiteracy; whereas orientations to personal loyalty and family obligations were based in tradition and enduring social ties, procedural trust required learning new relationships quickly in novel on-the-job contexts. Contracts, manuals, bookeeping, and even posters and signage on factory floors presumed what is now referred to as functional literacy but was then still an emerging feature of occupations. More quickly than in any other nation the literacy rate in the United States rose due to public investments in education, fueled by and fueling a growing demand for literate labor. Though early data for earlier periods are unavailable, in aggregate personal consumer spending on private education grew from 416 million dollars in 1909 to 1,170 million dollars in 1929, staying strong during WWI only to enter a decline during the Great Depression. Consumer literate spending would recover during WWII giving seeming unlimited opportunity for cultural industries like publishing and education to turn the public’s ability to read into consumer demand and an engine for their own growth.</w:t>
      </w:r>
    </w:p>
    <w:p>
      <w:pPr>
        <w:pStyle w:val="CaptionedFigure"/>
      </w:pPr>
      <w:r>
        <w:drawing>
          <wp:inline>
            <wp:extent cx="5334000" cy="3429000"/>
            <wp:effectExtent b="0" l="0" r="0" t="0"/>
            <wp:docPr descr="Figure 31 Personal Consumption Current Dollar Expenditures on Literate Products (“G456 Books, maps, magazines, newspapers, sheet music”, “G457 Private education and research”, and “G492 Education (private)”). Source: US Census Bureau :316-319(1975:316–319)" title="" id="1" name="Picture"/>
            <a:graphic>
              <a:graphicData uri="http://schemas.openxmlformats.org/drawingml/2006/picture">
                <pic:pic>
                  <pic:nvPicPr>
                    <pic:cNvPr descr="ambrose_dissertation_files/figure-docx/per-con-1.png" id="0" name="Picture"/>
                    <pic:cNvPicPr>
                      <a:picLocks noChangeArrowheads="1" noChangeAspect="1"/>
                    </pic:cNvPicPr>
                  </pic:nvPicPr>
                  <pic:blipFill>
                    <a:blip r:embed="rId13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31 Personal Consumption Current Dollar Expenditures on Literate Products (</w:t>
      </w:r>
      <w:r>
        <w:t xml:space="preserve">“</w:t>
      </w:r>
      <w:r>
        <w:t xml:space="preserve">G456 Books, maps, magazines, newspapers, sheet music</w:t>
      </w:r>
      <w:r>
        <w:t xml:space="preserve">”</w:t>
      </w:r>
      <w:r>
        <w:t xml:space="preserve">,</w:t>
      </w:r>
      <w:r>
        <w:t xml:space="preserve"> </w:t>
      </w:r>
      <w:r>
        <w:t xml:space="preserve">“</w:t>
      </w:r>
      <w:r>
        <w:t xml:space="preserve">G457 Private education and research</w:t>
      </w:r>
      <w:r>
        <w:t xml:space="preserve">”</w:t>
      </w:r>
      <w:r>
        <w:t xml:space="preserve">, and</w:t>
      </w:r>
      <w:r>
        <w:t xml:space="preserve"> </w:t>
      </w:r>
      <w:r>
        <w:t xml:space="preserve">“</w:t>
      </w:r>
      <w:r>
        <w:t xml:space="preserve">G492 Education (private)</w:t>
      </w:r>
      <w:r>
        <w:t xml:space="preserve">”</w:t>
      </w:r>
      <w:r>
        <w:t xml:space="preserve">). Source: US Census Bureau</w:t>
      </w:r>
      <w:r>
        <w:t xml:space="preserve"> </w:t>
      </w:r>
      <w:r>
        <w:t xml:space="preserve">(</w:t>
      </w:r>
      <w:hyperlink w:anchor="ref-Bureau1975Historical">
        <w:r>
          <w:rPr>
            <w:rStyle w:val="Hyperlink"/>
          </w:rPr>
          <w:t xml:space="preserve">1975</w:t>
        </w:r>
      </w:hyperlink>
      <w:r>
        <w:t xml:space="preserve">:316–319)</w:t>
      </w:r>
    </w:p>
    <w:p>
      <w:pPr>
        <w:pStyle w:val="Heading2"/>
      </w:pPr>
      <w:bookmarkStart w:id="136" w:name="kd-dq2"/>
      <w:r>
        <w:t xml:space="preserve"> </w:t>
      </w:r>
      <w:r>
        <w:t xml:space="preserve">Social Science Journals</w:t>
      </w:r>
      <w:bookmarkEnd w:id="136"/>
    </w:p>
    <w:p>
      <w:pPr>
        <w:pStyle w:val="FirstParagraph"/>
      </w:pPr>
      <w:r>
        <w:t xml:space="preserve">The most important journals in anthropology and sociolgy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BodyText"/>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aptionedFigure"/>
      </w:pPr>
      <w:r>
        <w:drawing>
          <wp:inline>
            <wp:extent cx="5334000" cy="3429000"/>
            <wp:effectExtent b="0" l="0" r="0" t="0"/>
            <wp:docPr descr="Figure 32 Birth and death rates for JSTOR journals, 5 year intervals." title="" id="1" name="Picture"/>
            <a:graphic>
              <a:graphicData uri="http://schemas.openxmlformats.org/drawingml/2006/picture">
                <pic:pic>
                  <pic:nvPicPr>
                    <pic:cNvPr descr="ambrose_dissertation_files/figure-docx/jbd-1.png" id="0" name="Picture"/>
                    <pic:cNvPicPr>
                      <a:picLocks noChangeArrowheads="1" noChangeAspect="1"/>
                    </pic:cNvPicPr>
                  </pic:nvPicPr>
                  <pic:blipFill>
                    <a:blip r:embed="rId1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32 Birth and death rates for JSTOR journals, 5 year intervals.</w:t>
      </w:r>
    </w:p>
    <w:p>
      <w:pPr>
        <w:pStyle w:val="CaptionedFigure"/>
      </w:pPr>
      <w:r>
        <w:drawing>
          <wp:inline>
            <wp:extent cx="5334000" cy="3429000"/>
            <wp:effectExtent b="0" l="0" r="0" t="0"/>
            <wp:docPr descr="Figure 33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33 Periods in the Growth of the Number of Social Science Journals in the JSTOR Archive</w:t>
      </w:r>
    </w:p>
    <w:p>
      <w:pPr>
        <w:pStyle w:val="CaptionedFigure"/>
      </w:pPr>
      <w:r>
        <w:drawing>
          <wp:inline>
            <wp:extent cx="5334000" cy="3429000"/>
            <wp:effectExtent b="0" l="0" r="0" t="0"/>
            <wp:docPr descr="Figure 34 Decennial growth in log10 of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34 Decennial growth in log10 of number of PhD degrees conferred in the U.S.</w:t>
      </w:r>
    </w:p>
    <w:p>
      <w:pPr>
        <w:pStyle w:val="CaptionedFigure"/>
      </w:pPr>
      <w:r>
        <w:drawing>
          <wp:inline>
            <wp:extent cx="5334000" cy="3429000"/>
            <wp:effectExtent b="0" l="0" r="0" t="0"/>
            <wp:docPr descr="Figure 35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4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35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eight new PhD’s in the U.S. for every social science journal even as each population grew year over year. These growth patterns begin to diverge around 1919 as a decades long acceleration of personnel begins, relatively slowly between 1920 and 1960 at an average acceleration rate of 28 PhDs per journal per year, and then quite precipitously in the 1960s at an average acceleration rate of 147.</w:t>
      </w:r>
    </w:p>
    <w:p>
      <w:pPr>
        <w:pStyle w:val="Heading2"/>
      </w:pPr>
      <w:bookmarkStart w:id="141" w:name="topics-ideas"/>
      <w:r>
        <w:t xml:space="preserve"> </w:t>
      </w:r>
      <w:r>
        <w:t xml:space="preserve">Topics ≟ Ideas</w:t>
      </w:r>
      <w:bookmarkEnd w:id="141"/>
    </w:p>
    <w:p>
      <w:pPr>
        <w:pStyle w:val="FirstParagraph"/>
      </w:pPr>
      <w:r>
        <w:t xml:space="preserve">Given a relatively stable epoch in American society, one free of the most extreme exogenous shocks of war and economic depression, how is it possible to trace the development of the discursive structures of American social science scholarship? I will use the digitized texts of articles taken from social science journals in the JSTOR archive to represent a time series of discourse. The methodological challenge is how to count such an empirical source as text, which seldom considered to be data at all.</w:t>
      </w:r>
    </w:p>
    <w:p>
      <w:pPr>
        <w:pStyle w:val="BodyText"/>
      </w:pPr>
      <w:r>
        <w:t xml:space="preserve">Texts are after all for reading rather than counting. Above we have shown how counting is possible within certain categories that are given historically, namely the journal sources of texts. Theoretically, however, there is a concern that discursive formations appear as a conversation among texts that may not be visible in exterior labels, or at least that such social or institutional labels are lagged behind their cultural origins, if indeed they ever break through from the cultural to the social. A genre category is the example par excellence of a socialized culture, one whose relevance to a society at large, however narrowly society may be conceived, is at least debateable because it is visible in the language as a category. The conjecture here is that direct analysis of texts may reveal the cultural currents, as Durkheim referred to them, before the crystalize into firmer social formations.</w:t>
      </w:r>
      <w:r>
        <w:rPr>
          <w:rStyle w:val="FootnoteReference"/>
        </w:rPr>
        <w:footnoteReference w:id="142"/>
      </w:r>
    </w:p>
    <w:p>
      <w:pPr>
        <w:pStyle w:val="BodyText"/>
      </w:pPr>
      <w:r>
        <w:t xml:space="preserve">To do that kind of counting at scale does require a humble approach to text. Text is the bearer of meaning when read by humans. When read by machines text are impoverished. Rather than claim to have access to the meanings of texts, I instead make the more conservative claim to have access to the vocabularies with which those meanings are communicated. Thus 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As mentioned, the statistical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Heading2"/>
      </w:pPr>
      <w:bookmarkStart w:id="143" w:name="full-text-archive"/>
      <w:r>
        <w:t xml:space="preserve">Full-Text Archive</w:t>
      </w:r>
      <w:bookmarkEnd w:id="143"/>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Simply put, if the texts we analyze are not the ones that historical actors read, can we be said to really be doing something historical? There are reasons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Heading3"/>
      </w:pPr>
      <w:bookmarkStart w:id="144" w:name="kd-dd"/>
      <w:r>
        <w:t xml:space="preserve">Data</w:t>
      </w:r>
      <w:bookmarkEnd w:id="144"/>
    </w:p>
    <w:p>
      <w:pPr>
        <w:pStyle w:val="FirstParagraph"/>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 Every record for every journal was downloaded manually, including front and back matter, articles, and book reviews.</w:t>
      </w:r>
    </w:p>
    <w:p>
      <w:pPr>
        <w:pStyle w:val="CaptionedFigure"/>
      </w:pPr>
      <w:r>
        <w:drawing>
          <wp:inline>
            <wp:extent cx="5334000" cy="3429000"/>
            <wp:effectExtent b="0" l="0" r="0" t="0"/>
            <wp:docPr descr="Figure 36 Annual count of journal issue contents." title="" id="1" name="Picture"/>
            <a:graphic>
              <a:graphicData uri="http://schemas.openxmlformats.org/drawingml/2006/picture">
                <pic:pic>
                  <pic:nvPicPr>
                    <pic:cNvPr descr="ambrose_dissertation_files/figure-docx/jdpf-desc-1.png" id="0" name="Picture"/>
                    <pic:cNvPicPr>
                      <a:picLocks noChangeArrowheads="1" noChangeAspect="1"/>
                    </pic:cNvPicPr>
                  </pic:nvPicPr>
                  <pic:blipFill>
                    <a:blip r:embed="rId1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36 Annual count of journal issue contents.</w:t>
      </w:r>
    </w:p>
    <w:p>
      <w:pPr>
        <w:pStyle w:val="Heading2"/>
      </w:pPr>
      <w:bookmarkStart w:id="146" w:name="kd-dp1"/>
      <w:r>
        <w:t xml:space="preserve">Sampling</w:t>
      </w:r>
      <w:bookmarkEnd w:id="146"/>
    </w:p>
    <w:p>
      <w:pPr>
        <w:pStyle w:val="CaptionedFigure"/>
      </w:pPr>
      <w:r>
        <w:drawing>
          <wp:inline>
            <wp:extent cx="5334000" cy="3429000"/>
            <wp:effectExtent b="0" l="0" r="0" t="0"/>
            <wp:docPr descr="Figure 37 Total word counts of all issues of all journal contents annually." title="" id="1" name="Picture"/>
            <a:graphic>
              <a:graphicData uri="http://schemas.openxmlformats.org/drawingml/2006/picture">
                <pic:pic>
                  <pic:nvPicPr>
                    <pic:cNvPr descr="ambrose_dissertation_files/figure-docx/pre2ntok-1.png" id="0" name="Picture"/>
                    <pic:cNvPicPr>
                      <a:picLocks noChangeArrowheads="1" noChangeAspect="1"/>
                    </pic:cNvPicPr>
                  </pic:nvPicPr>
                  <pic:blipFill>
                    <a:blip r:embed="rId14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37 Total word counts of all issues of all journal contents annually.</w:t>
      </w:r>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48" w:name="units-of-analysis"/>
      <w:r>
        <w:t xml:space="preserve">Units of Analysis</w:t>
      </w:r>
      <w:bookmarkEnd w:id="148"/>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3"/>
      </w:pPr>
      <w:bookmarkStart w:id="149" w:name="how-many-topics"/>
      <w:r>
        <w:t xml:space="preserve">How many topics?</w:t>
      </w:r>
      <w:bookmarkEnd w:id="149"/>
    </w:p>
    <w:p>
      <w:pPr>
        <w:pStyle w:val="CaptionedFigure"/>
      </w:pPr>
      <w:r>
        <w:drawing>
          <wp:inline>
            <wp:extent cx="4620126" cy="3696101"/>
            <wp:effectExtent b="0" l="0" r="0" t="0"/>
            <wp:docPr descr="Figure 38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38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39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39 Significant Counts of K</w:t>
      </w:r>
    </w:p>
    <w:p>
      <w:pPr>
        <w:pStyle w:val="Heading2"/>
      </w:pPr>
      <w:bookmarkStart w:id="152" w:name="topic-interpretation-1"/>
      <w:r>
        <w:t xml:space="preserve"> </w:t>
      </w:r>
      <w:r>
        <w:t xml:space="preserve">Topic interpretation</w:t>
      </w:r>
      <w:bookmarkEnd w:id="152"/>
    </w:p>
    <w:p>
      <w:pPr>
        <w:pStyle w:val="FirstParagraph"/>
      </w:pPr>
      <w:r>
        <w:t xml:space="preserve">(ref:soc-mod-viz) Topic Term Explorer, K=50.</w:t>
      </w:r>
      <w:r>
        <w:t xml:space="preserve"> </w:t>
      </w:r>
      <w:hyperlink r:id="rId153">
        <w:r>
          <w:rPr>
            <w:i/>
            <w:rStyle w:val="Hyperlink"/>
          </w:rPr>
          <w:t xml:space="preserve">Interactive pop-out.</w:t>
        </w:r>
      </w:hyperlink>
    </w:p>
    <w:p>
      <w:pPr>
        <w:pStyle w:val="CaptionedFigure"/>
      </w:pPr>
      <w:r>
        <w:drawing>
          <wp:inline>
            <wp:extent cx="5334000" cy="3408000"/>
            <wp:effectExtent b="0" l="0" r="0" t="0"/>
            <wp:docPr descr="Figure 40 (ref:soc-mod-viz)" title="" id="1" name="Picture"/>
            <a:graphic>
              <a:graphicData uri="http://schemas.openxmlformats.org/drawingml/2006/picture">
                <pic:pic>
                  <pic:nvPicPr>
                    <pic:cNvPr descr="img/soc-mod-viz.png" id="0" name="Picture"/>
                    <pic:cNvPicPr>
                      <a:picLocks noChangeArrowheads="1" noChangeAspect="1"/>
                    </pic:cNvPicPr>
                  </pic:nvPicPr>
                  <pic:blipFill>
                    <a:blip r:embed="rId154"/>
                    <a:stretch>
                      <a:fillRect/>
                    </a:stretch>
                  </pic:blipFill>
                  <pic:spPr bwMode="auto">
                    <a:xfrm>
                      <a:off x="0" y="0"/>
                      <a:ext cx="5334000" cy="3408000"/>
                    </a:xfrm>
                    <a:prstGeom prst="rect">
                      <a:avLst/>
                    </a:prstGeom>
                    <a:noFill/>
                    <a:ln w="9525">
                      <a:noFill/>
                      <a:headEnd/>
                      <a:tailEnd/>
                    </a:ln>
                  </pic:spPr>
                </pic:pic>
              </a:graphicData>
            </a:graphic>
          </wp:inline>
        </w:drawing>
      </w:r>
    </w:p>
    <w:p>
      <w:pPr>
        <w:pStyle w:val="ImageCaption"/>
      </w:pPr>
      <w:r>
        <w:t xml:space="preserve">Figure 40 (ref:soc-mod-viz)</w:t>
      </w:r>
    </w:p>
    <w:p>
      <w:pPr>
        <w:pStyle w:val="Heading1"/>
      </w:pPr>
      <w:bookmarkStart w:id="155" w:name="cit"/>
      <w:r>
        <w:t xml:space="preserve">The Social Science Citation Landscape, 1900-1940</w:t>
      </w:r>
      <w:bookmarkEnd w:id="155"/>
    </w:p>
    <w:p>
      <w:pPr>
        <w:pStyle w:val="Heading4"/>
      </w:pPr>
      <w:bookmarkStart w:id="156" w:name="abstract-4"/>
      <w:r>
        <w:t xml:space="preserve">Abstract</w:t>
      </w:r>
      <w:bookmarkEnd w:id="156"/>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57" w:name="keywords-4"/>
      <w:r>
        <w:t xml:space="preserve">Keywords</w:t>
      </w:r>
      <w:bookmarkEnd w:id="157"/>
    </w:p>
    <w:p>
      <w:pPr>
        <w:pStyle w:val="FirstParagraph"/>
      </w:pPr>
      <w:r>
        <w:t xml:space="preserve">citations, k-clique communities, community detection, landscape</w:t>
      </w:r>
    </w:p>
    <w:p>
      <w:r>
        <w:pict>
          <v:rect style="width:0;height:1.5pt" o:hralign="center" o:hrstd="t" o:hr="t"/>
        </w:pict>
      </w:r>
    </w:p>
    <w:p>
      <w:pPr>
        <w:pStyle w:val="Heading3"/>
      </w:pPr>
      <w:bookmarkStart w:id="158" w:name="wok"/>
      <w:r>
        <w:t xml:space="preserve">Mapping Knowledge Terrain</w:t>
      </w:r>
      <w:bookmarkEnd w:id="158"/>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2"/>
      </w:pPr>
      <w:bookmarkStart w:id="159" w:name="X149e5b3b957ca88293814dc48bcf2d2e8d36b2a"/>
      <w:r>
        <w:t xml:space="preserve">Disciplines as a Large World Co-reference Network</w:t>
      </w:r>
      <w:bookmarkEnd w:id="159"/>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3"/>
      </w:pPr>
      <w:bookmarkStart w:id="160" w:name="methods"/>
      <w:r>
        <w:t xml:space="preserve">Methods</w:t>
      </w:r>
      <w:bookmarkEnd w:id="160"/>
    </w:p>
    <w:p>
      <w:pPr>
        <w:pStyle w:val="Heading3"/>
      </w:pPr>
      <w:bookmarkStart w:id="161" w:name="data-1"/>
      <w:r>
        <w:t xml:space="preserve">Data</w:t>
      </w:r>
      <w:bookmarkEnd w:id="161"/>
    </w:p>
    <w:p>
      <w:pPr>
        <w:pStyle w:val="Heading2"/>
      </w:pPr>
      <w:bookmarkStart w:id="162" w:name="results-2"/>
      <w:r>
        <w:t xml:space="preserve">Results</w:t>
      </w:r>
      <w:bookmarkEnd w:id="162"/>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CaptionedFigure"/>
      </w:pPr>
      <w:r>
        <w:drawing>
          <wp:inline>
            <wp:extent cx="5334000" cy="4893056"/>
            <wp:effectExtent b="0" l="0" r="0" t="0"/>
            <wp:docPr descr="Figure 41 K-clique Community Structure. Interactive pop-out." title="" id="1" name="Picture"/>
            <a:graphic>
              <a:graphicData uri="http://schemas.openxmlformats.org/drawingml/2006/picture">
                <pic:pic>
                  <pic:nvPicPr>
                    <pic:cNvPr descr="img/kcc2tree.png" id="0" name="Picture"/>
                    <pic:cNvPicPr>
                      <a:picLocks noChangeArrowheads="1" noChangeAspect="1"/>
                    </pic:cNvPicPr>
                  </pic:nvPicPr>
                  <pic:blipFill>
                    <a:blip r:embed="rId163"/>
                    <a:stretch>
                      <a:fillRect/>
                    </a:stretch>
                  </pic:blipFill>
                  <pic:spPr bwMode="auto">
                    <a:xfrm>
                      <a:off x="0" y="0"/>
                      <a:ext cx="5334000" cy="4893056"/>
                    </a:xfrm>
                    <a:prstGeom prst="rect">
                      <a:avLst/>
                    </a:prstGeom>
                    <a:noFill/>
                    <a:ln w="9525">
                      <a:noFill/>
                      <a:headEnd/>
                      <a:tailEnd/>
                    </a:ln>
                  </pic:spPr>
                </pic:pic>
              </a:graphicData>
            </a:graphic>
          </wp:inline>
        </w:drawing>
      </w:r>
    </w:p>
    <w:p>
      <w:pPr>
        <w:pStyle w:val="ImageCaption"/>
      </w:pPr>
      <w:r>
        <w:t xml:space="preserve">Figure 41 K-clique Community Structure.</w:t>
      </w:r>
      <w:r>
        <w:t xml:space="preserve"> </w:t>
      </w:r>
      <w:hyperlink r:id="rId164">
        <w:r>
          <w:rPr>
            <w:i/>
            <w:rStyle w:val="Hyperlink"/>
          </w:rPr>
          <w:t xml:space="preserve">Interactive pop-out.</w:t>
        </w:r>
      </w:hyperlink>
    </w:p>
    <w:p>
      <w:pPr>
        <w:pStyle w:val="BodyText"/>
      </w:pPr>
      <w:r>
        <w:t xml:space="preserve">Figure</w:t>
      </w:r>
      <w:r>
        <w:t xml:space="preserve"> </w:t>
      </w:r>
      <w:r>
        <w:t xml:space="preserve">41</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65" w:name="continents"/>
      <w:r>
        <w:t xml:space="preserve">Continents</w:t>
      </w:r>
      <w:bookmarkEnd w:id="165"/>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42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6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42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42</w:t>
      </w:r>
      <w:r>
        <w:t xml:space="preserve">, comes from four authors publishing in the same 1930</w:t>
      </w:r>
      <w:r>
        <w:t xml:space="preserve"> </w:t>
      </w:r>
      <w:hyperlink r:id="rId167">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68">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43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6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43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44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7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44 Hill Isle in Graph Layout</w:t>
      </w:r>
    </w:p>
    <w:p>
      <w:pPr>
        <w:pStyle w:val="Heading3"/>
      </w:pPr>
      <w:bookmarkStart w:id="171" w:name="peaks"/>
      <w:r>
        <w:t xml:space="preserve">Peaks</w:t>
      </w:r>
      <w:bookmarkEnd w:id="171"/>
    </w:p>
    <w:p>
      <w:pPr>
        <w:pStyle w:val="FirstParagraph"/>
      </w:pPr>
      <w:r>
        <w:t xml:space="preserve">The KCC model reveals</w:t>
      </w:r>
    </w:p>
    <w:p>
      <w:pPr>
        <w:pStyle w:val="Heading3"/>
      </w:pPr>
      <w:bookmarkStart w:id="172" w:name="valleys"/>
      <w:r>
        <w:t xml:space="preserve">Valleys</w:t>
      </w:r>
      <w:bookmarkEnd w:id="172"/>
    </w:p>
    <w:p>
      <w:pPr>
        <w:pStyle w:val="Heading3"/>
      </w:pPr>
      <w:bookmarkStart w:id="173" w:name="X21da6a0927de4cd993063a9db3281001f5ac2e7"/>
      <w:r>
        <w:t xml:space="preserve">Do reference lists describe author knowledge?</w:t>
      </w:r>
      <w:bookmarkEnd w:id="173"/>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CaptionedFigure"/>
      </w:pPr>
      <w:r>
        <w:drawing>
          <wp:inline>
            <wp:extent cx="4620126" cy="3696101"/>
            <wp:effectExtent b="0" l="0" r="0" t="0"/>
            <wp:docPr descr="Figure 45 K-clique Community Island Plot. Interactive pop-out."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45 K-clique Community Island Plot.</w:t>
      </w:r>
      <w:r>
        <w:t xml:space="preserve"> </w:t>
      </w:r>
      <w:hyperlink r:id="rId175">
        <w:r>
          <w:rPr>
            <w:i/>
            <w:rStyle w:val="Hyperlink"/>
          </w:rPr>
          <w:t xml:space="preserve">Interactive pop-out.</w:t>
        </w:r>
      </w:hyperlink>
    </w:p>
    <w:bookmarkStart w:id="222" w:name="refs"/>
    <w:bookmarkStart w:id="176"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76"/>
    <w:bookmarkStart w:id="177"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7"/>
    <w:bookmarkStart w:id="178"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78"/>
    <w:bookmarkStart w:id="179"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79"/>
    <w:bookmarkStart w:id="180" w:name="ref-Blondel2008Fast"/>
    <w:p>
      <w:pPr>
        <w:pStyle w:val="Bibliography"/>
      </w:pPr>
      <w:r>
        <w:t xml:space="preserve">Blondel, Vincent D., Jean-Loup Guillaume, Renaud Lambiotte, and Etienne Lefebvre. 2008. “Fast Unfolding of Communities in Large Networks.”</w:t>
      </w:r>
    </w:p>
    <w:bookmarkEnd w:id="180"/>
    <w:bookmarkStart w:id="181"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81"/>
    <w:bookmarkStart w:id="182" w:name="ref-Bureau1975Historical"/>
    <w:p>
      <w:pPr>
        <w:pStyle w:val="Bibliography"/>
      </w:pPr>
      <w:r>
        <w:t xml:space="preserve">Bureau, US Census. 1975.</w:t>
      </w:r>
      <w:r>
        <w:t xml:space="preserve"> </w:t>
      </w:r>
      <w:r>
        <w:rPr>
          <w:i/>
        </w:rPr>
        <w:t xml:space="preserve">Historical Statistics of the United States, Colonial Times to 1970</w:t>
      </w:r>
      <w:r>
        <w:t xml:space="preserve">.</w:t>
      </w:r>
    </w:p>
    <w:bookmarkEnd w:id="182"/>
    <w:bookmarkStart w:id="183"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83"/>
    <w:bookmarkStart w:id="184"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84"/>
    <w:bookmarkStart w:id="185"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85"/>
    <w:bookmarkStart w:id="186"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86"/>
    <w:bookmarkStart w:id="187" w:name="ref-Durkheim1893division"/>
    <w:p>
      <w:pPr>
        <w:pStyle w:val="Bibliography"/>
      </w:pPr>
      <w:r>
        <w:t xml:space="preserve">Durkheim, Émile. 1893.</w:t>
      </w:r>
      <w:r>
        <w:t xml:space="preserve"> </w:t>
      </w:r>
      <w:r>
        <w:rPr>
          <w:i/>
        </w:rPr>
        <w:t xml:space="preserve">The Division of Labour in Society</w:t>
      </w:r>
      <w:r>
        <w:t xml:space="preserve">. 2nd. ed. edited by S. Lukes. Basingstoke, Hampshire: Palgrave Macmillan UK.</w:t>
      </w:r>
    </w:p>
    <w:bookmarkEnd w:id="187"/>
    <w:bookmarkStart w:id="188"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88"/>
    <w:bookmarkStart w:id="189"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89"/>
    <w:bookmarkStart w:id="190"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90"/>
    <w:bookmarkStart w:id="191"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91"/>
    <w:bookmarkStart w:id="192" w:name="ref-2012Google"/>
    <w:p>
      <w:pPr>
        <w:pStyle w:val="Bibliography"/>
      </w:pPr>
      <w:r>
        <w:t xml:space="preserve">Google. 2012. “Google Ngram Viewer.”</w:t>
      </w:r>
    </w:p>
    <w:bookmarkEnd w:id="192"/>
    <w:bookmarkStart w:id="193"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93"/>
    <w:bookmarkStart w:id="194" w:name="ref-James2019ecp"/>
    <w:p>
      <w:pPr>
        <w:pStyle w:val="Bibliography"/>
      </w:pPr>
      <w:r>
        <w:t xml:space="preserve">James, Nicholas A. and Wenyu Zhang and David S. Matteson. 2019. “Ecp: Non-Parametric Multiple Change-Point Analysis of Multivariate Data.”</w:t>
      </w:r>
    </w:p>
    <w:bookmarkEnd w:id="194"/>
    <w:bookmarkStart w:id="195" w:name="ref-JSTOR2018Title"/>
    <w:p>
      <w:pPr>
        <w:pStyle w:val="Bibliography"/>
      </w:pPr>
      <w:r>
        <w:t xml:space="preserve">JSTOR. 2018. “Title Lists.”</w:t>
      </w:r>
      <w:r>
        <w:t xml:space="preserve"> </w:t>
      </w:r>
      <w:r>
        <w:rPr>
          <w:i/>
        </w:rPr>
        <w:t xml:space="preserve">JSTOR Support Home</w:t>
      </w:r>
      <w:r>
        <w:t xml:space="preserve">.</w:t>
      </w:r>
    </w:p>
    <w:bookmarkEnd w:id="195"/>
    <w:bookmarkStart w:id="196"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96"/>
    <w:bookmarkStart w:id="197"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97"/>
    <w:bookmarkStart w:id="198"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98"/>
    <w:bookmarkStart w:id="199"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99"/>
    <w:bookmarkStart w:id="200"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200"/>
    <w:bookmarkStart w:id="201"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201"/>
    <w:bookmarkStart w:id="202"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202"/>
    <w:bookmarkStart w:id="203"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203"/>
    <w:bookmarkStart w:id="204" w:name="ref-Morville2009Ambient"/>
    <w:p>
      <w:pPr>
        <w:pStyle w:val="Bibliography"/>
      </w:pPr>
      <w:r>
        <w:t xml:space="preserve">Morville, Peter. 2009.</w:t>
      </w:r>
      <w:r>
        <w:t xml:space="preserve"> </w:t>
      </w:r>
      <w:r>
        <w:rPr>
          <w:i/>
        </w:rPr>
        <w:t xml:space="preserve">Ambient Findability</w:t>
      </w:r>
      <w:r>
        <w:t xml:space="preserve">. O’Reilly.</w:t>
      </w:r>
    </w:p>
    <w:bookmarkEnd w:id="204"/>
    <w:bookmarkStart w:id="205"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205"/>
    <w:bookmarkStart w:id="206"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206"/>
    <w:bookmarkStart w:id="207"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207"/>
    <w:bookmarkStart w:id="208"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208"/>
    <w:bookmarkStart w:id="209"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209"/>
    <w:bookmarkStart w:id="210"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10"/>
    <w:bookmarkStart w:id="211" w:name="ref-Roberts2018stm"/>
    <w:p>
      <w:pPr>
        <w:pStyle w:val="Bibliography"/>
      </w:pPr>
      <w:r>
        <w:t xml:space="preserve">Roberts, Margaret, Brandon Stewart, Dustin Tingley, and Kenneth Benoit. 2018. “Stm: Estimation of the Structural Topic Model.”</w:t>
      </w:r>
    </w:p>
    <w:bookmarkEnd w:id="211"/>
    <w:bookmarkStart w:id="212"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12"/>
    <w:bookmarkStart w:id="213" w:name="ref-Roberts2015pkg"/>
    <w:p>
      <w:pPr>
        <w:pStyle w:val="Bibliography"/>
      </w:pPr>
      <w:r>
        <w:t xml:space="preserve">Roberts, Nicola. 2015. “Hdp: R Pkg for Hierarchical Dirichlet Process.”</w:t>
      </w:r>
    </w:p>
    <w:bookmarkEnd w:id="213"/>
    <w:bookmarkStart w:id="214"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14"/>
    <w:bookmarkStart w:id="215"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15"/>
    <w:bookmarkStart w:id="216"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16"/>
    <w:bookmarkStart w:id="217" w:name="ref-Snyder1993120"/>
    <w:p>
      <w:pPr>
        <w:pStyle w:val="Bibliography"/>
      </w:pPr>
      <w:r>
        <w:t xml:space="preserve">Snyder, Thomas. 1993. “120 Years of American Education: A Statistical Portrait.”</w:t>
      </w:r>
      <w:r>
        <w:t xml:space="preserve"> </w:t>
      </w:r>
      <w:r>
        <w:rPr>
          <w:i/>
        </w:rPr>
        <w:t xml:space="preserve">120 Years of American Education: A Statistical Portrait</w:t>
      </w:r>
      <w:r>
        <w:t xml:space="preserve">.</w:t>
      </w:r>
    </w:p>
    <w:bookmarkEnd w:id="217"/>
    <w:bookmarkStart w:id="218"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18"/>
    <w:bookmarkStart w:id="219"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19"/>
    <w:bookmarkStart w:id="220" w:name="ref-Zucker1983Organizations"/>
    <w:p>
      <w:pPr>
        <w:pStyle w:val="Bibliography"/>
      </w:pPr>
      <w:r>
        <w:t xml:space="preserve">Zucker, Lynne G. 1983. “Organizations as Institutions” edited by S. B. Bacharach.</w:t>
      </w:r>
      <w:r>
        <w:t xml:space="preserve"> </w:t>
      </w:r>
      <w:r>
        <w:rPr>
          <w:i/>
        </w:rPr>
        <w:t xml:space="preserve">Research in the Sociology of Organizations: A Research Annual</w:t>
      </w:r>
      <w:r>
        <w:t xml:space="preserve"> </w:t>
      </w:r>
      <w:r>
        <w:t xml:space="preserve">1–47.</w:t>
      </w:r>
    </w:p>
    <w:bookmarkEnd w:id="220"/>
    <w:bookmarkStart w:id="221" w:name="ref-Zucker1986Production"/>
    <w:p>
      <w:pPr>
        <w:pStyle w:val="Bibliography"/>
      </w:pPr>
      <w:r>
        <w:t xml:space="preserve">Zucker, Lynne G. 1986. “Production of Trust: Institutional Sources of Economic Structure, 1840-1920.”</w:t>
      </w:r>
      <w:r>
        <w:t xml:space="preserve"> </w:t>
      </w:r>
      <w:r>
        <w:rPr>
          <w:i/>
        </w:rPr>
        <w:t xml:space="preserve">Research in Organizational Behavior</w:t>
      </w:r>
      <w:r>
        <w:t xml:space="preserve"> </w:t>
      </w:r>
      <w:r>
        <w:t xml:space="preserve">8:53–111.</w:t>
      </w:r>
    </w:p>
    <w:bookmarkEnd w:id="221"/>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1">
    <w:p>
      <w:pPr>
        <w:pStyle w:val="FootnoteText"/>
      </w:pPr>
      <w:r>
        <w:rPr>
          <w:rStyle w:val="FootnoteReference"/>
        </w:rPr>
        <w:footnoteRef/>
      </w:r>
      <w:r>
        <w:t xml:space="preserve"> </w:t>
      </w:r>
      <w:r>
        <w:t xml:space="preserve">TODO, I did not, but should take a random draw of the same size to serve as a control.</w:t>
      </w:r>
    </w:p>
  </w:footnote>
  <w:footnote w:id="63">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0">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1">
    <w:p>
      <w:pPr>
        <w:pStyle w:val="FootnoteText"/>
      </w:pPr>
      <w:r>
        <w:rPr>
          <w:rStyle w:val="FootnoteReference"/>
        </w:rPr>
        <w:footnoteRef/>
      </w:r>
      <w:r>
        <w:t xml:space="preserve"> </w:t>
      </w:r>
      <w:r>
        <w:t xml:space="preserve">www.jstor.org/stable/10.2307/27909026</w:t>
      </w:r>
    </w:p>
  </w:footnote>
  <w:footnote w:id="73">
    <w:p>
      <w:pPr>
        <w:pStyle w:val="FootnoteText"/>
      </w:pPr>
      <w:r>
        <w:rPr>
          <w:rStyle w:val="FootnoteReference"/>
        </w:rPr>
        <w:footnoteRef/>
      </w:r>
      <w:r>
        <w:t xml:space="preserve"> </w:t>
      </w:r>
      <w:r>
        <w:t xml:space="preserve">www.jstor.org/stable/10.2307/43795866</w:t>
      </w:r>
    </w:p>
  </w:footnote>
  <w:footnote w:id="82">
    <w:p>
      <w:pPr>
        <w:pStyle w:val="FootnoteText"/>
      </w:pPr>
      <w:r>
        <w:rPr>
          <w:rStyle w:val="FootnoteReference"/>
        </w:rPr>
        <w:footnoteRef/>
      </w:r>
      <w:r>
        <w:t xml:space="preserve"> </w:t>
      </w:r>
      <w:r>
        <w:t xml:space="preserve">www.jstor.org/stable/10.2307/j.ctt1bhkpdr.8</w:t>
      </w:r>
    </w:p>
  </w:footnote>
  <w:footnote w:id="98">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3">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 w:id="142">
    <w:p>
      <w:pPr>
        <w:pStyle w:val="FootnoteText"/>
      </w:pPr>
      <w:r>
        <w:rPr>
          <w:rStyle w:val="FootnoteReference"/>
        </w:rPr>
        <w:footnoteRef/>
      </w:r>
      <w:r>
        <w:t xml:space="preserve"> </w:t>
      </w:r>
      <w:r>
        <w:t xml:space="preserve">“</w:t>
      </w:r>
      <w:r>
        <w:t xml:space="preserve">To master the whole meaning of the discovered truths and to understand all that is summarised in them, one must have looked closely at scientific life whilst it is still in a free state, that is, before it has been crystallised in the form of definite propositions.</w:t>
      </w:r>
      <w:r>
        <w:t xml:space="preserve">”</w:t>
      </w:r>
      <w:r>
        <w:t xml:space="preserve"> </w:t>
      </w:r>
      <w:r>
        <w:t xml:space="preserve">(Durkheim</w:t>
      </w:r>
      <w:r>
        <w:t xml:space="preserve"> </w:t>
      </w:r>
      <w:hyperlink w:anchor="ref-Durkheim1893division">
        <w:r>
          <w:rPr>
            <w:rStyle w:val="Hyperlink"/>
          </w:rPr>
          <w:t xml:space="preserve">1893</w:t>
        </w:r>
      </w:hyperlink>
      <w:r>
        <w:t xml:space="preserve">:\299)</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24" Target="media/rId124.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22" Target="media/rId122.png" /><Relationship Type="http://schemas.openxmlformats.org/officeDocument/2006/relationships/image" Id="rId72" Target="media/rId72.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145" Target="media/rId145.png" /><Relationship Type="http://schemas.openxmlformats.org/officeDocument/2006/relationships/image" Id="rId104" Target="media/rId104.png" /><Relationship Type="http://schemas.openxmlformats.org/officeDocument/2006/relationships/image" Id="rId138" Target="media/rId138.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6" Target="media/rId96.png" /><Relationship Type="http://schemas.openxmlformats.org/officeDocument/2006/relationships/image" Id="rId151" Target="media/rId151.png" /><Relationship Type="http://schemas.openxmlformats.org/officeDocument/2006/relationships/image" Id="rId45" Target="media/rId45.png" /><Relationship Type="http://schemas.openxmlformats.org/officeDocument/2006/relationships/image" Id="rId140" Target="media/rId140.png" /><Relationship Type="http://schemas.openxmlformats.org/officeDocument/2006/relationships/image" Id="rId139" Target="media/rId139.png" /><Relationship Type="http://schemas.openxmlformats.org/officeDocument/2006/relationships/image" Id="rId135" Target="media/rId135.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25" Target="media/rId125.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129" Target="media/rId129.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134" Target="media/rId134.png" /><Relationship Type="http://schemas.openxmlformats.org/officeDocument/2006/relationships/image" Id="rId166" Target="media/rId166.png"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108" Target="media/rId108.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169" Target="media/rId169.png" /><Relationship Type="http://schemas.openxmlformats.org/officeDocument/2006/relationships/image" Id="rId85" Target="media/rId85.png" /><Relationship Type="http://schemas.openxmlformats.org/officeDocument/2006/relationships/image" Id="rId163" Target="media/rId163.png" /><Relationship Type="http://schemas.openxmlformats.org/officeDocument/2006/relationships/image" Id="rId49" Target="media/rId49.png" /><Relationship Type="http://schemas.openxmlformats.org/officeDocument/2006/relationships/image" Id="rId154" Target="media/rId154.png" /><Relationship Type="http://schemas.openxmlformats.org/officeDocument/2006/relationships/image" Id="rId22" Target="media/rId22.gif" /><Relationship Type="http://schemas.openxmlformats.org/officeDocument/2006/relationships/hyperlink" Id="rId175" Target="exh/isl3d.html" TargetMode="External" /><Relationship Type="http://schemas.openxmlformats.org/officeDocument/2006/relationships/hyperlink" Id="rId164" Target="exh/kcc2tree.html" TargetMode="External" /><Relationship Type="http://schemas.openxmlformats.org/officeDocument/2006/relationships/hyperlink" Id="rId153" Target="exh/viz/index.html" TargetMode="External" /><Relationship Type="http://schemas.openxmlformats.org/officeDocument/2006/relationships/hyperlink" Id="rId21" Target="https://brooksambrose.github.io/portfolio" TargetMode="External" /><Relationship Type="http://schemas.openxmlformats.org/officeDocument/2006/relationships/hyperlink" Id="rId167" Target="https://www.jstor.org/stable/i40084238" TargetMode="External" /><Relationship Type="http://schemas.openxmlformats.org/officeDocument/2006/relationships/hyperlink" Id="rId168" Target="https://www.jstor.org/stable/i40084262" TargetMode="External" /><Relationship Type="http://schemas.openxmlformats.org/officeDocument/2006/relationships/hyperlink" Id="rId107" Target="ldaviz/viz/index.html"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_rels/footnotes.xml.rels><?xml version="1.0" encoding="UTF-8"?>
<Relationships xmlns="http://schemas.openxmlformats.org/package/2006/relationships"><Relationship Type="http://schemas.openxmlformats.org/officeDocument/2006/relationships/hyperlink" Id="rId175" Target="exh/isl3d.html" TargetMode="External" /><Relationship Type="http://schemas.openxmlformats.org/officeDocument/2006/relationships/hyperlink" Id="rId164" Target="exh/kcc2tree.html" TargetMode="External" /><Relationship Type="http://schemas.openxmlformats.org/officeDocument/2006/relationships/hyperlink" Id="rId153" Target="exh/viz/index.html" TargetMode="External" /><Relationship Type="http://schemas.openxmlformats.org/officeDocument/2006/relationships/hyperlink" Id="rId21" Target="https://brooksambrose.github.io/portfolio" TargetMode="External" /><Relationship Type="http://schemas.openxmlformats.org/officeDocument/2006/relationships/hyperlink" Id="rId167" Target="https://www.jstor.org/stable/i40084238" TargetMode="External" /><Relationship Type="http://schemas.openxmlformats.org/officeDocument/2006/relationships/hyperlink" Id="rId168" Target="https://www.jstor.org/stable/i40084262" TargetMode="External" /><Relationship Type="http://schemas.openxmlformats.org/officeDocument/2006/relationships/hyperlink" Id="rId107" Target="ldaviz/viz/index.html"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2019-09-02T09:32:38Z</dcterms:created>
  <dcterms:modified xsi:type="dcterms:W3CDTF">2019-09-02T09:32:38Z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2019-09-02</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