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48.png" ContentType="image/png"/>
  <Override PartName="/word/media/rId96.png" ContentType="image/png"/>
  <Override PartName="/word/media/rId89.png" ContentType="image/png"/>
  <Override PartName="/word/media/rId93.png" ContentType="image/png"/>
  <Override PartName="/word/media/rId127.png" ContentType="image/png"/>
  <Override PartName="/word/media/rId82.png" ContentType="image/png"/>
  <Override PartName="/word/media/rId76.png" ContentType="image/png"/>
  <Override PartName="/word/media/rId125.png" ContentType="image/png"/>
  <Override PartName="/word/media/rId74.png" ContentType="image/png"/>
  <Override PartName="/word/media/rId106.png" ContentType="image/png"/>
  <Override PartName="/word/media/rId102.png" ContentType="image/png"/>
  <Override PartName="/word/media/rId92.png" ContentType="image/png"/>
  <Override PartName="/word/media/rId91.png" ContentType="image/png"/>
  <Override PartName="/word/media/rId99.png" ContentType="image/png"/>
  <Override PartName="/word/media/rId129.png" ContentType="image/png"/>
  <Override PartName="/word/media/rId97.png" ContentType="image/png"/>
  <Override PartName="/word/media/rId59.png" ContentType="image/png"/>
  <Override PartName="/word/media/rId60.png" ContentType="image/png"/>
  <Override PartName="/word/media/rId134.png" ContentType="image/png"/>
  <Override PartName="/word/media/rId87.png" ContentType="image/png"/>
  <Override PartName="/word/media/rId85.png" ContentType="image/png"/>
  <Override PartName="/word/media/rId146.png" ContentType="image/png"/>
  <Override PartName="/word/media/rId159.png" ContentType="image/png"/>
  <Override PartName="/word/media/rId149.png" ContentType="image/png"/>
  <Override PartName="/word/media/rId165.png" ContentType="image/png"/>
  <Override PartName="/word/media/rId150.png" ContentType="image/png"/>
  <Override PartName="/word/media/rId145.png" ContentType="image/png"/>
  <Override PartName="/word/media/rId143.png" ContentType="image/png"/>
  <Override PartName="/word/media/rId160.png" ContentType="image/png"/>
  <Override PartName="/word/media/rId162.png" ContentType="image/png"/>
  <Override PartName="/word/media/rId163.png" ContentType="image/png"/>
  <Override PartName="/word/media/rId170.png" ContentType="image/png"/>
  <Override PartName="/word/media/rId171.png" ContentType="image/png"/>
  <Override PartName="/word/media/rId151.png" ContentType="image/png"/>
  <Override PartName="/word/media/rId144.png" ContentType="image/png"/>
  <Override PartName="/word/media/rId152.png" ContentType="image/png"/>
  <Override PartName="/word/media/rId142.png" ContentType="image/png"/>
  <Override PartName="/word/media/rId137.jpg" ContentType="image/jpeg"/>
  <Override PartName="/word/media/rId44.png" ContentType="image/png"/>
  <Override PartName="/word/media/rId68.png" ContentType="image/png"/>
  <Override PartName="/word/media/rId111.png" ContentType="image/png"/>
  <Override PartName="/word/media/rId61.png" ContentType="image/png"/>
  <Override PartName="/word/media/rId77.png" ContentType="image/png"/>
  <Override PartName="/word/media/rId101.png" ContentType="image/png"/>
  <Override PartName="/word/media/rId88.png" ContentType="image/png"/>
  <Override PartName="/word/media/rId36.png" ContentType="image/png"/>
  <Override PartName="/word/media/rId52.png" ContentType="image/png"/>
  <Override PartName="/word/media/rId32.png" ContentType="image/png"/>
  <Override PartName="/word/media/rId173.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2019-10-29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t xml:space="preserve"> </w:t>
      </w:r>
      <w:r>
        <w:t xml:space="preserve">Brooks</w:t>
      </w:r>
    </w:p>
    <w:p>
      <w:pPr>
        <w:pStyle w:val="Heading1"/>
      </w:pPr>
      <w:bookmarkStart w:id="23" w:name="chapter-abstracts"/>
      <w:r>
        <w:t xml:space="preserve">Chapter Abstracts</w:t>
      </w:r>
      <w:bookmarkEnd w:id="23"/>
    </w:p>
    <w:p>
      <w:pPr>
        <w:pStyle w:val="Heading3"/>
      </w:pPr>
      <w:bookmarkStart w:id="24" w:name="X382c191f1cac97d8f532cc85014703513f99bae"/>
      <w:r>
        <w:t xml:space="preserve">What to Read? How Archivists, Professors, and Educators Cultivate Knowledge Terrains</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w:t>
      </w:r>
      <w:r>
        <w:t xml:space="preserve"> </w:t>
      </w:r>
      <w:r>
        <w:t xml:space="preserve"> </w:t>
      </w:r>
      <w:r>
        <w:t xml:space="preserve">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knowledge terrain,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Such stratification serves as a cartography of textual content, which allows one to generate a precise reading strategy. I use this text map to perform content analysis on a stratified sample of classified texts to compare their different uses of the term genre. In an examination of the benefits and hazards of this distant reading approach, I outline a battery of diagnostics to examine the validity of the topic model from both quantitative and qualitative perspectives. Through a combination of machine distant reading and human close reading, I conduct a provisional reading of texts in one region of the topic cartography, music. I show how the map usefully juxtaposes multiple disciplines as they discuss similar content, which makes comparative analysis more productive.</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d225c229fb93d01948c4b450126d38d2d7d2f72"/>
      <w:r>
        <w:t xml:space="preserve">Economy, Society, and Vocabulary: The Origins of U.S. Anthropology and Sociology, 1888-1922</w:t>
      </w:r>
      <w:bookmarkEnd w:id="27"/>
    </w:p>
    <w:p>
      <w:pPr>
        <w:pStyle w:val="FirstParagraph"/>
      </w:pPr>
      <w:r>
        <w:t xml:space="preserve">After the American Civil War, United States social science scholarship shifted its institutional basis from museums, learned societies, and government and military agencies to a more autonomous setting in the newly forming university system. Throughout this transition, journals served as a platform for the distribution of scholarly knowledge, giving coherence and continuity to a field otherwise very much in flux. This study lays out two levels of context for these developments. First at the national level we describe the broader societal shifts in politics and the economy that corresponded to an increase in public demand for knowledge, which in turn provided new resources to expand production in the social sciences. Second, at the level of social science discourse as represented by journal articles, we show how the attention of social scientists shifted in response to social problems. Using 35 years of full text data from the leading journals in anthroplogy and sociology, we use topic models to first classify and count fields of research and then to describe their waxing and waning in the lead up to World War I. In order to develop this novel</w:t>
      </w:r>
      <w:r>
        <w:t xml:space="preserve"> </w:t>
      </w:r>
      <w:r>
        <w:t xml:space="preserve">“</w:t>
      </w:r>
      <w:r>
        <w:t xml:space="preserve">census of knowledge</w:t>
      </w:r>
      <w:r>
        <w:t xml:space="preserve">”</w:t>
      </w:r>
      <w:r>
        <w:t xml:space="preserve">, we apply new approaches to determining the number of scholarly fields by leveraging variations in vocabularies as signals of social boundary formation within fields of cultural production.</w:t>
      </w:r>
    </w:p>
    <w:p>
      <w:pPr>
        <w:pStyle w:val="BodyText"/>
      </w:pPr>
      <w:r>
        <w:rPr>
          <w:b/>
        </w:rPr>
        <w:t xml:space="preserve">Keywords</w:t>
      </w:r>
      <w:r>
        <w:t xml:space="preserve">: knowledge, organizational theory, fields of cultural production, institutionalization, history of social science, topic modeling</w:t>
      </w:r>
    </w:p>
    <w:p>
      <w:pPr>
        <w:pStyle w:val="Heading1"/>
      </w:pPr>
      <w:bookmarkStart w:id="28" w:name="int"/>
      <w:r>
        <w:t xml:space="preserve">What to Read? How Archivists, Professors, and Educators Cultivate Knowledge Terrains</w:t>
      </w:r>
      <w:bookmarkEnd w:id="28"/>
    </w:p>
    <w:p>
      <w:pPr>
        <w:pStyle w:val="Heading4"/>
      </w:pPr>
      <w:bookmarkStart w:id="29" w:name="abstract"/>
      <w:r>
        <w:t xml:space="preserve">Abstract</w:t>
      </w:r>
      <w:bookmarkEnd w:id="29"/>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w:t>
      </w:r>
      <w:r>
        <w:t xml:space="preserve"> </w:t>
      </w:r>
      <w:r>
        <w:t xml:space="preserve"> </w:t>
      </w:r>
      <w:r>
        <w:t xml:space="preserve">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0" w:name="keywords"/>
      <w:r>
        <w:t xml:space="preserve">Keywords</w:t>
      </w:r>
      <w:bookmarkEnd w:id="30"/>
    </w:p>
    <w:p>
      <w:pPr>
        <w:pStyle w:val="FirstParagraph"/>
      </w:pPr>
      <w:r>
        <w:t xml:space="preserve">knowledge terrain, 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BodyText"/>
      </w:pPr>
      <w:r>
        <w:t xml:space="preserve">Whether the growth of the Internet will bring the wider world into the kinds of relationships with knowledge that have been developing for centuries in universities, or whether the Internet will be something entirely new, is not the task of this paper. Instead I speculate about how the fundamental problem of approaching an archive of ever-growing complexity is solved in ways that have surprising results for those whose careers depend on accessing it. I explore three different roles within institutions of higher education oriented to the archive and to each other: the archivist, the professor, and the educator. Along the way I will explore how the knowledge in the archive is used for purposes other than scholarship and education.</w:t>
      </w:r>
    </w:p>
    <w:p>
      <w:pPr>
        <w:pStyle w:val="Heading3"/>
      </w:pPr>
      <w:bookmarkStart w:id="31" w:name="knowledge-roles"/>
      <w:r>
        <w:t xml:space="preserve">Knowledge roles</w:t>
      </w:r>
      <w:bookmarkEnd w:id="31"/>
    </w:p>
    <w:p>
      <w:pPr>
        <w:pStyle w:val="FirstParagraph"/>
      </w:pPr>
      <w:r>
        <w:t xml:space="preserve">I begin by outlining three roles within universities in an abstract way, that is, by drawing out their motivations and orientations toward knowledge as well as how those orientations condition the way that each relates to the others. While I will attempt to describe each role’s myopic attitude to knowledge, which informs their daily work, I will also discuss the ways that their behavior sorts knowledge into patterns that then have effects on the knowledge environment of each other role.</w:t>
      </w:r>
    </w:p>
    <w:p>
      <w:pPr>
        <w:pStyle w:val="BodyText"/>
      </w:pPr>
      <w:r>
        <w:t xml:space="preserve">The first of three knowledge roles is that of the archivist. The archivist is a knowledge distributor and orients to knowledge in an indexing capacity. Their role is to understand a lot of knowledge quickly and help match clients with knowledge problems to cultural objects in the archive that may provide knowledge solutions. The archivist’s interest in knowledge at scale creates a cognitive need for knowledge classification systems that work for a variety of clients, namely scholars, educators, students, and the public. The archivist is formally in a support role that is universalistic and bureaucratized, hence she operates as staff for other roles so long as they are following the rules. Informally, the archivist is wedded to the archive itself and may wish to educate people about its contents. After all, the archivist has especially broad knowledge to share beyond merely responding to client requests. She therefore may attempt to influence how other roles orient to knowledge from her own vantage point.</w:t>
      </w:r>
    </w:p>
    <w:p>
      <w:pPr>
        <w:pStyle w:val="BodyText"/>
      </w:pPr>
      <w:r>
        <w:t xml:space="preserve">The second role is that of the professor. To profess is to</w:t>
      </w:r>
      <w:r>
        <w:t xml:space="preserve"> </w:t>
      </w:r>
      <w:r>
        <w:t xml:space="preserve">“</w:t>
      </w:r>
      <w:r>
        <w:t xml:space="preserve">declare publicly</w:t>
      </w:r>
      <w:r>
        <w:t xml:space="preserve">”</w:t>
      </w:r>
      <w:r>
        <w:t xml:space="preserve">. Because knowledge is a part of the status and the authority of the professor, they have an interest in maintaining its relative value against the people to which they profess, to their audience. The professor does not want to be supplanted by her interlocutor. She wishes to gather resources toward her, including audiences, and to maintain the attention of benefactors</w:t>
      </w:r>
      <w:r>
        <w:t xml:space="preserve"> </w:t>
      </w:r>
      <w:r>
        <w:t xml:space="preserve">(Gould</w:t>
      </w:r>
      <w:r>
        <w:t xml:space="preserve"> </w:t>
      </w:r>
      <w:hyperlink w:anchor="ref-Gould2002Origins">
        <w:r>
          <w:rPr>
            <w:rStyle w:val="Hyperlink"/>
          </w:rPr>
          <w:t xml:space="preserve">2002</w:t>
        </w:r>
      </w:hyperlink>
      <w:r>
        <w:t xml:space="preserve">)</w:t>
      </w:r>
      <w:r>
        <w:t xml:space="preserve">. These resources are felt to be necessary for the economic work of scholarly production, or they are important to personal identity. The professor faces a moral hazard toward crypticism, and may not go out of her way to let the foundations of her knowledge transfer to her clients. She has a particular knowledge format that is a lean message of information that does not give away the farm. This is usually what her clients want.</w:t>
      </w:r>
    </w:p>
    <w:p>
      <w:pPr>
        <w:pStyle w:val="BodyText"/>
      </w:pPr>
      <w:r>
        <w:t xml:space="preserve">The third role is that of the educator. Compared to the professor, the educator attempts to stand in a lateral rather than in a superior social relation to others. Whereas the professor attracts people toward her, the educator attempts to move with people often in a direction of their choosing. She maximizes knowledge transfer and seeks to obviate her role with a particular person, though her role also requires fresh inputs of ignorant laity. The educator always stands in a superior knowledge position; even if followers reach the point where the leader was, the leader may always be further ahead. Yet socially she attempts to project radically egalitarian, which is to say reciprocal, authority. The moral hazard of the educator is quixotism; the professor is much more savvy about how to create security and status out of knowledge and has a conservative orientation. The educator empowers the ignorant to choose where to invest their labor, and this may lead to tilting at windmills.</w:t>
      </w:r>
    </w:p>
    <w:p>
      <w:pPr>
        <w:pStyle w:val="BodyText"/>
      </w:pPr>
      <w:r>
        <w:t xml:space="preserve">By professor, or professing person, I do not necessarily mean the job title in a university. To be a professor is to have a particular way of relating to knowledge and of using knowledge in relation to other people. Anyone can be a professor if they know something valuable; it is how they mobilize that knowledge in social interaction that makes them a professor. The same can be said, mutatis mutandis, for the other roles as well. Anyone who helps others index and locate knowledge is an archivist. Anyone who helps others reproduce knowledge is an educator. Because these are functions as well as job titles, anyone in a formal role may do each of these functions in a day, and what they do about knowledge will be a consequence both of the formal responsibilities of their title as well as the personal commitments they bring to their occupation.</w:t>
      </w:r>
    </w:p>
    <w:p>
      <w:pPr>
        <w:pStyle w:val="BodyText"/>
      </w:pPr>
      <w:r>
        <w:t xml:space="preserve">These three role relationships are oriented not primarily to each other role. They are each constituted out of an asymmetry of knowledge and each role is a knowledge specialist. Instead they orient to people who know less than they do. In these roles the occupant accumulates knowledge in the course of their work, and their valued contribution involves the exchange of this knowledge for status and resources. What differs between the professor and the educator is how the knowledge asymmetry is exploited to maintain either hierarchical social authority (profession) or reciprocal authority (education)</w:t>
      </w:r>
      <w:r>
        <w:t xml:space="preserve"> </w:t>
      </w:r>
      <w:r>
        <w:t xml:space="preserve">(Gould</w:t>
      </w:r>
      <w:r>
        <w:t xml:space="preserve"> </w:t>
      </w:r>
      <w:hyperlink w:anchor="ref-Gould1999Race">
        <w:r>
          <w:rPr>
            <w:rStyle w:val="Hyperlink"/>
          </w:rPr>
          <w:t xml:space="preserve">1999</w:t>
        </w:r>
      </w:hyperlink>
      <w:r>
        <w:t xml:space="preserve">; Parsons and Platt</w:t>
      </w:r>
      <w:r>
        <w:t xml:space="preserve"> </w:t>
      </w:r>
      <w:hyperlink w:anchor="ref-Parsons1970Age">
        <w:r>
          <w:rPr>
            <w:rStyle w:val="Hyperlink"/>
          </w:rPr>
          <w:t xml:space="preserve">1970</w:t>
        </w:r>
      </w:hyperlink>
      <w:r>
        <w:t xml:space="preserve">)</w:t>
      </w:r>
      <w:r>
        <w:t xml:space="preserve">.</w:t>
      </w:r>
    </w:p>
    <w:p>
      <w:pPr>
        <w:pStyle w:val="BodyText"/>
      </w:pPr>
      <w:r>
        <w:t xml:space="preserve">In general, authority is the ability to transfer one’s own goals to other people, that is, to induce them to act in a way that achieves your own priorities. In hierarchical authority such goal transfer usually goes from the superior to the inferior position. In reciprocal authority each party may at times lead and at times follow. Professorial authority serves to maintain a knowledge asymmetry because goals oriented to knowledge production are firmly in control of the expert. Rather than exchange factors of knowledge production, professors, professionals in general, wish to exchange a knowledge product for a reward, even if that reward is the mere maintenance of former status. In reciprocal authority an educator transacts factors of knowledge production across the boundary of their knowledge asymmetry, serving to erode the boundary over time.</w:t>
      </w:r>
    </w:p>
    <w:p>
      <w:pPr>
        <w:pStyle w:val="BodyText"/>
      </w:pPr>
      <w:r>
        <w:t xml:space="preserve">It is again helpful to be reminded that a person with the title of professor may shift between hierarchical and reciprocal relationships. Because the causal axis relates to asymmetries of knowledge, professors may find themselves engaging in reciprocal relationships especially among peers with whom knowledge asymmetries are less pronounced. Regardless of the personal relationships professors seek out, they in fact possess knowledge in such relative abundance that any randomly chosen potential relationship will be asymmetrical, and were they to engage the relationship would be hierarchical.</w:t>
      </w:r>
    </w:p>
    <w:p>
      <w:pPr>
        <w:pStyle w:val="CaptionedFigure"/>
      </w:pPr>
      <w:r>
        <w:drawing>
          <wp:inline>
            <wp:extent cx="5334000" cy="4400550"/>
            <wp:effectExtent b="0" l="0" r="0" t="0"/>
            <wp:docPr descr="Figure 2 Professors maintain knowledge boundaries while archivists index them." title="" id="1" name="Picture"/>
            <a:graphic>
              <a:graphicData uri="http://schemas.openxmlformats.org/drawingml/2006/picture">
                <pic:pic>
                  <pic:nvPicPr>
                    <pic:cNvPr descr="img/profess.png" id="0" name="Picture"/>
                    <pic:cNvPicPr>
                      <a:picLocks noChangeArrowheads="1" noChangeAspect="1"/>
                    </pic:cNvPicPr>
                  </pic:nvPicPr>
                  <pic:blipFill>
                    <a:blip r:embed="rId32"/>
                    <a:stretch>
                      <a:fillRect/>
                    </a:stretch>
                  </pic:blipFill>
                  <pic:spPr bwMode="auto">
                    <a:xfrm>
                      <a:off x="0" y="0"/>
                      <a:ext cx="5334000" cy="4400550"/>
                    </a:xfrm>
                    <a:prstGeom prst="rect">
                      <a:avLst/>
                    </a:prstGeom>
                    <a:noFill/>
                    <a:ln w="9525">
                      <a:noFill/>
                      <a:headEnd/>
                      <a:tailEnd/>
                    </a:ln>
                  </pic:spPr>
                </pic:pic>
              </a:graphicData>
            </a:graphic>
          </wp:inline>
        </w:drawing>
      </w:r>
    </w:p>
    <w:p>
      <w:pPr>
        <w:pStyle w:val="ImageCaption"/>
      </w:pPr>
      <w:r>
        <w:t xml:space="preserve">Figure 2 Professors maintain knowledge boundaries while archivists index them.</w:t>
      </w:r>
    </w:p>
    <w:p>
      <w:pPr>
        <w:pStyle w:val="Heading2"/>
      </w:pPr>
      <w:bookmarkStart w:id="33" w:name="knowledge-as-password"/>
      <w:r>
        <w:t xml:space="preserve">Knowledge as password</w:t>
      </w:r>
      <w:bookmarkEnd w:id="33"/>
    </w:p>
    <w:p>
      <w:pPr>
        <w:pStyle w:val="FirstParagraph"/>
      </w:pPr>
      <w:r>
        <w:t xml:space="preserve">My objective in describing the above value orientations to knowledge is not to make a moral argument; educational relationships are not more fair or just than professional ones. My concern is to elaborate the consequences for the cultivation of the knowledge environment given the knowledge transfer predilections of the different roles. Knowledge is not organized into one universal system of relevance. If it were, one would merely need to count how much someone knows and observe their value orientation to what they know to predict what kinds of relationships they would form with others. There would be one universal hierarchy with the most learned member sitting at the top.</w:t>
      </w:r>
    </w:p>
    <w:p>
      <w:pPr>
        <w:pStyle w:val="BodyText"/>
      </w:pPr>
      <w:r>
        <w:t xml:space="preserve">In fact qualitative distinctions between knowledges make the picture much more complicated. Knowledges are like currencies in local economies; wealth in one market does not guarantee wealth in another market. The multiple centers of knowledge create the complicated system that ensures demand for the role of the archivist, not just to safeguard the historical record, but to transmit and communicate knowledge indices that help all members of the knowledge environment locate themselves. The topology of this multiply epicentric knowledge space is the world within which all knowledge workers live.</w:t>
      </w:r>
    </w:p>
    <w:p>
      <w:pPr>
        <w:pStyle w:val="BodyText"/>
      </w:pPr>
      <w:r>
        <w:t xml:space="preserve">What I wish to argue is that it is the behavior of professors in particular that maintains the shape of the knowledge space, that is, that makes it more multiply epicentric and fractured than it might otherwise be if education were historically dominant. Of course professors are not trying to landscape a global knowledge space; they are trying to do their work of knowledge production and of securing the resources necessary to keep doing that work. But in doing this work they are continuing in a long tradition of other professors who have had a systematic interest in maintaining knowledge asymmetry, since this worked to their advantage most of the time. Professors whether they are reflective about it or not occupy knowledge settlements that are adapted to maintaining the boundaries of knowledge that are constitutive of scholarly subfields. By way of example, I will concentrate on one mechanism, the password system, that maintains and exploits these knowledge boundaries. I will then provide an illustration of the global knowledge terrain that passwords and similar mechanisms create.</w:t>
      </w:r>
    </w:p>
    <w:p>
      <w:pPr>
        <w:pStyle w:val="BodyText"/>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The use of knowledge for the effect of exclusion should not be overstated. If a scholarly field is considered to be a profession within itself, it has an interest in controlling who it lets in and who it keeps out. Thus an exclusion mechanism is always also an inclusion mechanism. To emphasize exclusion is to recognize that this is the more important function given the asymmetries of scale scholarly fields face in the university environment. The scarce resources they have acquired, both in terms of a core of symbolic knowledge and in real employment opportunities, compared to the sheer size of social and cultural solicitors, means that most of the work is to keep people and ideas outside of the boundaries of the field. If they do not, they risk losing control and invite revolutions. Exclusion is thus not meant in a pejorative way; indeed incumbents in professions who find the notion of exclusion distasteful may be surprised to nonetheless discover that their fundamental orientations toward knowledge have exclusionary effects whether they are intended or not.</w:t>
      </w:r>
    </w:p>
    <w:p>
      <w:pPr>
        <w:pStyle w:val="BodyText"/>
      </w:pPr>
      <w:r>
        <w:t xml:space="preserve">How then does the password system work as a membrane around scholarly subfields? First, knowledge qua password is arbitrary with respect to content, because club knowledge is not necessarily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Second, 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The password is not, however, a shibboleth. A shibboleth is chosen arbitrarily such that the people who are targeted for exclusion are incapable of meeting the criterion. The use of a password that Jews could not pronounce in ancient times, or the job qualification of a high school degree that blacks did not have in more recent times, are both examples of shibboleths used to explicitly target particular groups. The knowledge password system is not so extreme; its function is to both slow the trickle of resources across club boundaries and to compel solicitors to demonstrate a commitment to club values before gaining admission.</w:t>
      </w:r>
    </w:p>
    <w:p>
      <w:pPr>
        <w:pStyle w:val="BodyText"/>
      </w:pPr>
      <w:r>
        <w:t xml:space="preserve">Still, the tolerance for exclusionary behavior is relative, and any degree of exclusion may raise the hackles of educators. The password structure perpetually faces destabilizing threats. The entropic force of the archive has already been mentioned, which by itself stresses scholarly boundaries because anyone can acquire expertise independently of professions and then use that to make claims on club goods.</w:t>
      </w:r>
      <w:r>
        <w:t xml:space="preserve"> </w:t>
      </w:r>
      <w:r>
        <w:t xml:space="preserve"> </w:t>
      </w:r>
      <w:r>
        <w:t xml:space="preserve">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w:t>
      </w:r>
    </w:p>
    <w:p>
      <w:pPr>
        <w:pStyle w:val="BodyText"/>
      </w:pPr>
      <w:r>
        <w:t xml:space="preserve">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Heading3"/>
      </w:pPr>
      <w:bookmarkStart w:id="34" w:name="knowledge-as-influence"/>
      <w:r>
        <w:t xml:space="preserve">Knowledge as influence</w:t>
      </w:r>
      <w:bookmarkEnd w:id="34"/>
    </w:p>
    <w:p>
      <w:pPr>
        <w:pStyle w:val="FirstParagraph"/>
      </w:pPr>
      <w:r>
        <w:t xml:space="preserve">This functioning of the password system is not how it is experienced by people. Phenomenologically knowledge templates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BodyText"/>
      </w:pPr>
      <w:r>
        <w:t xml:space="preserve">These rhetorical flourishes are meant to illustrate the socioemotional attitudes that actors in competitive fields have due to the mobilization of knowledge for competitive purposes. The feeling of security in one’s status is itself a social construction. The successful mobilization of knowledge as a resource for intellectual production is not quite the same process as the mobilization of knowledge for career success, though the two are linked. Often it is necessary to win a confidence game against competitors to acquire the resources necessary to do scholarship. The password system is merely one version of this game.</w:t>
      </w:r>
    </w:p>
    <w:p>
      <w:pPr>
        <w:pStyle w:val="BodyText"/>
      </w:pPr>
      <w:r>
        <w:t xml:space="preserve">The password system and all other confidence games that deploy knowledge for competitive purposes are members of a theoretical class that</w:t>
      </w:r>
      <w:r>
        <w:t xml:space="preserve"> </w:t>
      </w:r>
      <w:r>
        <w:t xml:space="preserve">Parsons (</w:t>
      </w:r>
      <w:hyperlink w:anchor="ref-Parsons1963Concept">
        <w:r>
          <w:rPr>
            <w:rStyle w:val="Hyperlink"/>
          </w:rPr>
          <w:t xml:space="preserve">1963</w:t>
        </w:r>
      </w:hyperlink>
      <w:r>
        <w:t xml:space="preserve">)</w:t>
      </w:r>
      <w:r>
        <w:t xml:space="preserve"> </w:t>
      </w:r>
      <w:r>
        <w:t xml:space="preserve">called influence. Influence is generalized knowledge-based authority. It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The mastery of a harder list is like possessing more money; it helps potential sellers rank who they wish to do business with.</w:t>
      </w:r>
    </w:p>
    <w:p>
      <w:pPr>
        <w:pStyle w:val="BodyText"/>
      </w:pPr>
      <w:r>
        <w:t xml:space="preserve">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varieties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w:t>
      </w:r>
    </w:p>
    <w:p>
      <w:pPr>
        <w:pStyle w:val="BodyText"/>
      </w:pPr>
      <w:r>
        <w:t xml:space="preserve">Contemporaneous cultures and societies constraining the reader prejudge the meanings of texts. 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besetting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 stereotype, in which a fairly thin reputation may stand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forbearance when it is symbolically exchanged. If a reputed meaning is elaborated for the sole purpose of esoteric exclusiveness, and the reputation diverges enough from the truth, the colluders may expect to receive status challenges asking to demonstrate the real value of the knowledge. If they fail such tests it will harm their own reputations. Such a scenario is very likely where professional arenas, which demand high volume trading of texts, intersect with educational arenas, which require closer attention to fewer texts. Textbooks, catalogs of knowledge products without their attendant knowledge factors, contain nothing but reputed meaning, and therefore represent a good example of a professional rather than an educational approach to teaching.</w:t>
      </w:r>
    </w:p>
    <w:p>
      <w:pPr>
        <w:pStyle w:val="Heading2"/>
      </w:pPr>
      <w:bookmarkStart w:id="35" w:name="knowledge-terrain"/>
      <w:r>
        <w:t xml:space="preserve">Knowledge terrain</w:t>
      </w:r>
      <w:bookmarkEnd w:id="35"/>
    </w:p>
    <w:p>
      <w:pPr>
        <w:pStyle w:val="FirstParagraph"/>
      </w:pPr>
      <w:r>
        <w:t xml:space="preserve">At this point I have discussed organizational and interactional processes that play out in the social arenas of higher education. At every juncture knowledge is a key element to the constitution and operation of these relationships. What I know seek to do is paint a landscape of the global consequences of such actions. The work of generations of archivists, professors, and educators has organized knowledge into a particular pattern that I call a knowledge landscape or terrain. It is a map dotted with social settlements, but the ground beneath them is a pattern of knowledge codified in the archive and then related in chains of association. The particular associations are the social value of the knowledge that is safeguarded by the creation of settlements. What this means is that the shape of the terrain is sculpted bit by bit over time. The shape is not necessarily implied by the content; rather the content has effects on the knowledge workers who integrate that content in ways that solve problems of knowledge qua knowledge but that also solve problems of knowledge qua social resource.</w:t>
      </w:r>
    </w:p>
    <w:p>
      <w:pPr>
        <w:pStyle w:val="BodyText"/>
      </w:pPr>
      <w:r>
        <w:t xml:space="preserve">Figure</w:t>
      </w:r>
      <w:r>
        <w:t xml:space="preserve"> </w:t>
      </w:r>
      <w:r>
        <w:t xml:space="preserve">3</w:t>
      </w:r>
      <w:r>
        <w:t xml:space="preserve"> </w:t>
      </w:r>
      <w:r>
        <w:t xml:space="preserve">illustrates how knowledge settlement sculpts a terrain. The map is an aggregate representation of the co-citation network of several journals in anthropology and sociology as recorded by the Thompson Reuters Web of Knowledge database. I will not address the methodological challenges of constructing the map except in one respect. The elements of the map are the reference lists of individual articles each represented as a clique network among the references on the page. One may imagine that a single article’s reference page is like a woven doily with each reference tightly connected to every other reference. When an article shares some references in common with another article, their reference cliques overlap. By overlapping an entire population of such reference cliques, a gigantic network may be formed.</w:t>
      </w:r>
    </w:p>
    <w:p>
      <w:pPr>
        <w:pStyle w:val="BodyText"/>
      </w:pPr>
      <w:r>
        <w:t xml:space="preserve">This giant network represents the domesticated portion of the archive. These are the elements of the archive that have been selected by professors to be used as factors of production in the creation of new knowledge. It represents only a portion of everything that is available, as the items in the archive that were never cited in another person’s work, and are therefore not contained on any reference page, are not a part of the giant network.</w:t>
      </w:r>
    </w:p>
    <w:p>
      <w:pPr>
        <w:pStyle w:val="BodyText"/>
      </w:pPr>
      <w:r>
        <w:t xml:space="preserve">In terms of the theory outlined above, the reference lists are an individual author’s statement about what knowledge is relevant in the creation of new knowledge. In isolation these lists may be merely idiosyncratic, as one person’s opinion about what counts may very considerably from another’s. However in combining each individual statement of importance, it is possible to see where consensus has emerged. The more particular combinations of references are used the more a social group centered at a particular knowledge location forms. We may predict that these centers are the locations where knowledge settlements, scholarly disciplines and subfields, may be developed.</w:t>
      </w:r>
    </w:p>
    <w:p>
      <w:pPr>
        <w:pStyle w:val="BodyText"/>
      </w:pPr>
      <w:r>
        <w:t xml:space="preserve">What the enclosing circles in the figures represent is a mapping of potential knowledge asymmetries around which social settlements could be erected. Recall the idea above of a club of professors who use a password to control entry to their field. The password was a list of items about which all members must be able to demonstrate knowledge. Imagine that the club has a fenced yard around it. The club has a policy that to get through the gate into the yard, one must master a list that is 10 items long, but to enter the club one must master that 10 item list plus another 10 item list. Anyone who had access to the club would also have access to the yard, but not the other way around, and the yard would never have fewer people allowed in it than the club.</w:t>
      </w:r>
    </w:p>
    <w:p>
      <w:pPr>
        <w:pStyle w:val="BodyText"/>
      </w:pPr>
      <w:r>
        <w:t xml:space="preserve">The enclosing circles on the map are all of the locations within the reference landscape where a password list of a particular length, call it the password strength, could be written. The largest exterior circles contain all of the references that could be combined into a password of a length of two, that is, that on someone’s reference page somewhere a particular pair of references can be found. As we increase the strength of the password, the number of references that are found in a combination of that particular length is reduced. Imagine that if we took any random pair of references, there is some chance that they were cited together at least once. If we took any random triplet of references, we would expect that the chance that all three were found on a reference page would be less than a random pair. As the requirement is increased the number of references that satisfy it is reduced. We would find that if we set a requirement that a list have ten items, that of the combinatorically massive number of possible combinations of ten items taken from the whole population of cited work, that only a very small fraction of those sets would have ever actually appeared on a real reference page.</w:t>
      </w:r>
    </w:p>
    <w:p>
      <w:pPr>
        <w:pStyle w:val="CaptionedFigure"/>
      </w:pPr>
      <w:r>
        <w:drawing>
          <wp:inline>
            <wp:extent cx="5334000" cy="5931697"/>
            <wp:effectExtent b="0" l="0" r="0" t="0"/>
            <wp:docPr descr="Figure 3 Overlapping reference cliques as knowledge terrain of selected social science journals, 1900-1940. Brighter colors indicate larger numbers of contributing bibliographies, with gray indicating only a single contributor. Interactive pop-out." title="" id="1" name="Picture"/>
            <a:graphic>
              <a:graphicData uri="http://schemas.openxmlformats.org/drawingml/2006/picture">
                <pic:pic>
                  <pic:nvPicPr>
                    <pic:cNvPr descr="img/kcc2tree.png" id="0" name="Picture"/>
                    <pic:cNvPicPr>
                      <a:picLocks noChangeArrowheads="1" noChangeAspect="1"/>
                    </pic:cNvPicPr>
                  </pic:nvPicPr>
                  <pic:blipFill>
                    <a:blip r:embed="rId36"/>
                    <a:stretch>
                      <a:fillRect/>
                    </a:stretch>
                  </pic:blipFill>
                  <pic:spPr bwMode="auto">
                    <a:xfrm>
                      <a:off x="0" y="0"/>
                      <a:ext cx="5334000" cy="5931697"/>
                    </a:xfrm>
                    <a:prstGeom prst="rect">
                      <a:avLst/>
                    </a:prstGeom>
                    <a:noFill/>
                    <a:ln w="9525">
                      <a:noFill/>
                      <a:headEnd/>
                      <a:tailEnd/>
                    </a:ln>
                  </pic:spPr>
                </pic:pic>
              </a:graphicData>
            </a:graphic>
          </wp:inline>
        </w:drawing>
      </w:r>
    </w:p>
    <w:p>
      <w:pPr>
        <w:pStyle w:val="ImageCaption"/>
      </w:pPr>
      <w:r>
        <w:t xml:space="preserve">Figure 3 Overlapping reference cliques as knowledge terrain of selected social science journals, 1900-1940. Brighter colors indicate larger numbers of contributing bibliographies, with gray indicating only a single contributor.</w:t>
      </w:r>
      <w:r>
        <w:t xml:space="preserve"> </w:t>
      </w:r>
      <w:hyperlink r:id="rId37">
        <w:r>
          <w:rPr>
            <w:i/>
            <w:rStyle w:val="Hyperlink"/>
          </w:rPr>
          <w:t xml:space="preserve">Interactive pop-out.</w:t>
        </w:r>
      </w:hyperlink>
      <w:r>
        <w:rPr>
          <w:rStyle w:val="FootnoteReference"/>
        </w:rPr>
        <w:footnoteReference w:id="38"/>
      </w:r>
    </w:p>
    <w:p>
      <w:pPr>
        <w:pStyle w:val="BodyText"/>
      </w:pPr>
      <w:r>
        <w:t xml:space="preserve">Some features of the map may be highlighted. The sample includes articles from journals in four disciplines, anthropology, sociology, political science, and economics, from 1900 to 1940. The convention of common referencing, and of long bibliographies generally, is more advanced at this time in sociology, giving it an outsized importance here. The top right cluster is an economics grouping, and other disconnected economics bubbles surround the main feature. In the north are a few political science groups. The majority of the structure, however, is shared between anthropology and sociology. The three mid-sized circles in the center of the largest formation represent two sociology fields and one anthropology field. One sociology field (the upper left) includes topics concerning education and psychology, while the other (upper right) is composed of general sociology. The lower bubble is the whole of anthropology. These disciplines are linked by some shorter exchanges between them, whereas there are no links whatsoever to either political science or economics.</w:t>
      </w:r>
    </w:p>
    <w:p>
      <w:pPr>
        <w:pStyle w:val="BodyText"/>
      </w:pPr>
      <w:r>
        <w:t xml:space="preserve">What the map shows is that in social science history scholars developed long lists of references in common (the more interior circles) in only a few locations. These I argue are the most likely locations for social settlement of the knowledge landscape, that is, there is a</w:t>
      </w:r>
      <w:r>
        <w:t xml:space="preserve"> </w:t>
      </w:r>
      <w:r>
        <w:t xml:space="preserve">“</w:t>
      </w:r>
      <w:r>
        <w:t xml:space="preserve">natural</w:t>
      </w:r>
      <w:r>
        <w:t xml:space="preserve">”</w:t>
      </w:r>
      <w:r>
        <w:t xml:space="preserve"> </w:t>
      </w:r>
      <w:r>
        <w:t xml:space="preserve">knowledge asymmetry between the interior and exterior of the circle out of which a password could be formed and knowledge based exclusion enforced. Though the map is generated with real data on historical journal articles, it is meant to be illustrative of the theoretical claim, rather than an empirical test. For one, this is just a map of the knowledge itself, and there is no measurement of social settlements, the actual professional scholarly subfields and their organizations, that are predicted to exist based on the capacity for exclusion implied by the graph.</w:t>
      </w:r>
    </w:p>
    <w:p>
      <w:pPr>
        <w:pStyle w:val="Heading2"/>
      </w:pPr>
      <w:bookmarkStart w:id="40" w:name="generic-isomorphism"/>
      <w:r>
        <w:t xml:space="preserve">Generic isomorphism</w:t>
      </w:r>
      <w:bookmarkEnd w:id="40"/>
    </w:p>
    <w:p>
      <w:pPr>
        <w:pStyle w:val="FirstParagraph"/>
      </w:pPr>
      <w:r>
        <w:t xml:space="preserve">I have argued that the organization of knowledge into a complicated system of multiply epicentric disciplines and subfields is not only driven by the relevance of knowledge for the resolution of different intellectual problems, but that it is to a greater or lesser extent also driven by the resolution of the very social problem of maintaining group identity within scholarly fields. Professors guard these boundaries because their livelihoods are predicated on the existence of knowledge asymmetries. Educators erode them because their livelihoods depend on releasing knowledge to wider populations of learners. Archivists index them in order to serve as many interest groups as they can. The result is a relatively slowly evolving knowledge landscape that nevertheless develops stark topological features in time. None of these actors really has much of a reason to notice the wider knowledge landscape, and indeed it would be very difficult to achieve such a vantage point. Rather they are concerned with their local perspectives in the landscape. They are oriented to their knowledge work, and to the particular role relationships and the technologies, like the password list, that are used to enact and maintain those relationships.</w:t>
      </w:r>
    </w:p>
    <w:p>
      <w:pPr>
        <w:pStyle w:val="BodyText"/>
      </w:pPr>
      <w:r>
        <w:t xml:space="preserve">There is one big exception to this rule of myopia, and that is the question of scholarly genre. Genres are classification systems held in common by all role incumbents. They are a form of ubiquitous knowledge that is the closest thing to a naturally occurring map of the field. In one sense the archivist is the guardian of the genre system and exploits it to develop indexing systems that actually work, that match likely requests from stakeholders to the actual content of the archive. But archivists do not invent genre labels, and neither does anyone else for that matter. They are a Wittgensteinian outcome of a long history of language games occurring among generations of role incumbents.</w:t>
      </w:r>
    </w:p>
    <w:p>
      <w:pPr>
        <w:pStyle w:val="BodyText"/>
      </w:pPr>
      <w:r>
        <w:t xml:space="preserve">My theoretical ambition is to develop a perspective that does not reify the existence of genre categories, but rather seeks to explain them historically. To do this it is necessary to develop knowledge mapping techniques that are able to provide an independent basis for mapping the structures of knowledge as the are manifest in cultural archives themselves. The genres systems in existence during particular epochs cannot be taken as the truth on the ground, but are rather the outcomes of processes of social construction that are the true explicandum for sociological research. One might expect sociologists to have unique insight into the operations of a system they themselves inhabit, but on the contrary like all people who enact social structure their scientific understanding of it may collide with their successful performance of it.</w:t>
      </w:r>
    </w:p>
    <w:p>
      <w:pPr>
        <w:pStyle w:val="BodyText"/>
      </w:pPr>
      <w:r>
        <w:t xml:space="preserve">I wish to conclude with a characterization of how the password and genre systems are actually experienced by people, and how little opportunity is ever given to reflect on or to imagine how their orientation to knowledge could be different. Let me begin again with the question that concerned me at the outset, how do scholars answer the question of what to read? I will show by illustration that the answer appears to depend very little on the topology of the knowledge landscape, and much more on the dynamics of the role relationships scholars must enter into. The landscape however is an ever present grounding on which the quotidian problems of scholarship play out, and often the knowledge must be present in its particular form for it to be exploited for actors’ narrower interests.</w:t>
      </w:r>
    </w:p>
    <w:p>
      <w:pPr>
        <w:pStyle w:val="BodyText"/>
      </w:pPr>
      <w:r>
        <w:t xml:space="preserve">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secret maps to navigate the archive. They are secret because they are not distributed freely by archivists but are rather cloistered within majors.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Where would such a curriculum be obtained?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 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 This durability of disciplines, this gelling of genres, has a force that is as powerful as it is difficult to explain. In this essay I have attempted to locate that durability in the structure of knowledge itself as it has been cultivated over generations. What is remarkable about the structure of this knowledge is that the mechanisms of exclusion that are enforced with and around it are not required by the knowledge itself. The great promise of the archive is the ability to combine knowledge in any way a seeker sees fit. The social structures within which access to the archive is organized have the curious effect of making it seem like most of those combinations are impossible.</w:t>
      </w:r>
    </w:p>
    <w:p>
      <w:pPr>
        <w:pStyle w:val="Heading1"/>
      </w:pPr>
      <w:bookmarkStart w:id="41" w:name="dis"/>
      <w:r>
        <w:t xml:space="preserve">Social Science Disciplines Today</w:t>
      </w:r>
      <w:bookmarkEnd w:id="41"/>
    </w:p>
    <w:p>
      <w:pPr>
        <w:pStyle w:val="Heading4"/>
      </w:pPr>
      <w:bookmarkStart w:id="42" w:name="abstract-1"/>
      <w:r>
        <w:t xml:space="preserve">Abstract</w:t>
      </w:r>
      <w:bookmarkEnd w:id="42"/>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3" w:name="keywords-1"/>
      <w:r>
        <w:t xml:space="preserve">Keywords</w:t>
      </w:r>
      <w:bookmarkEnd w:id="43"/>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4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4"/>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4 Fractal Evaluation and Commensurated Scale. Adapted from Abbott (2011:11).</w:t>
      </w:r>
    </w:p>
    <w:p>
      <w:pPr>
        <w:pStyle w:val="BodyText"/>
      </w:pPr>
      <w:r>
        <w:t xml:space="preserve">Facing inwardly, producers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BodyText"/>
      </w:pPr>
      <w:r>
        <w:t xml:space="preserve">Everyone starts at the more ubiquitous level. It is only through education or professional socialization that newcomers can learn genre classifications, and most members of the public will not even be aware of the disciplinary categories of academic knowledge. The genre system sits in a more optimized relationship between descriptiveness and stability. The disciplines only change a glacial pace, while the genres are stable enough to maintain relevance for entire generations of scholars. The fractal patterns are so granular that they may not even survive in the memory of a particular person over the years. In its constant interaction with the chaos of actual knowledge production, the genre system provides a more stable medium that is open to change but not so open as to risk dissolution. Scholars may complain that their work is not adequately represented by the genre system, and if enough make the same argument, the genre system may update to allow a wider audience to recognize the novel work. This is not to say that the work need actually be novel. As Abbott observes, each generation of scholars tends to cycle through forgetting and then reinventing the knowledge it had just cast aside</w:t>
      </w:r>
      <w:r>
        <w:t xml:space="preserve"> </w:t>
      </w:r>
      <w:r>
        <w:t xml:space="preserve">(</w:t>
      </w:r>
      <w:hyperlink w:anchor="ref-Abbott2001Chaos">
        <w:r>
          <w:rPr>
            <w:rStyle w:val="Hyperlink"/>
          </w:rPr>
          <w:t xml:space="preserve">2001</w:t>
        </w:r>
      </w:hyperlink>
      <w:r>
        <w:t xml:space="preserve">:24)</w:t>
      </w:r>
      <w:r>
        <w:t xml:space="preserve">.</w:t>
      </w:r>
    </w:p>
    <w:p>
      <w:pPr>
        <w:pStyle w:val="BodyText"/>
      </w:pPr>
      <w:r>
        <w:t xml:space="preserve">The level of disciplines reformats the interaction of fractal evaluation and genre codification, just at a higher resolution that is oriented to the external relationships of the university. Where knowledges are separated by great cultural if not necessarily semantic distances, such as for instance the divide between biology and sociology, scholars in distant disciplines may not have much better knowledge about each other than a random member of the public. Disciplines emerge at a societal scale in a way that lets the university enter exchange relationships with government and the economy.</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The uses of genre labels are themselves systematically organized by discipline, and a disciple who is adequately trained will know the correct ways to use genre labels in her local context. To use genre as a disciplinary convention means to first identify your location in the disciplinary field, and then to accept the limitations on scope by excluding knowledges and relationships that are extradisciplinary, that is, irrelevant. Disciplinary structure reduces the true cultural complexity of the entire genre system to a restricted form of local relevance, which in turn allows humble knowledge workers to engage upon a set of shared assumptions. Such simplicity begets new complexity as disciples spin out the consequences of their local use of genre.</w:t>
      </w:r>
    </w:p>
    <w:p>
      <w:pPr>
        <w:pStyle w:val="BodyText"/>
      </w:pPr>
      <w:r>
        <w:t xml:space="preserve">The genres are also economic principles helping to organize supply and demand within internal scholarly markets for cultural products. There actors see genres among the borders between economic, social, and cultural uses, as a market category helping them acquire or produce content, as a card in proximate games of prestige, or as something to taste, to consume and enjoy directly. Publishers and journal editors leverage genres to help producers and consumers find them, as proclaiming a venue’s genre identity is the cheapest way to advertise. Still, journals must also contend with the fractal evaluation of producers, and this may lead to creative positioning within the genre system if not usually the disciplinary system. As a way to signal that they are not merely generic, which is to say boring, a journal may position itself between rather than squarely within genres. This kind of recombinant innovation maintains the stability of both the genre and the discipline systems while at the same time opening up space for the fractal distinctions to work themselves out in creative ways</w:t>
      </w:r>
      <w:r>
        <w:t xml:space="preserve"> </w:t>
      </w:r>
      <w:r>
        <w:t xml:space="preserve">(Gitlin</w:t>
      </w:r>
      <w:r>
        <w:t xml:space="preserve"> </w:t>
      </w:r>
      <w:hyperlink w:anchor="ref-Gitlin2000Triumph">
        <w:r>
          <w:rPr>
            <w:rStyle w:val="Hyperlink"/>
          </w:rPr>
          <w:t xml:space="preserve">2000</w:t>
        </w:r>
      </w:hyperlink>
      <w:r>
        <w:t xml:space="preserve">; Vedres and Stark</w:t>
      </w:r>
      <w:r>
        <w:t xml:space="preserve"> </w:t>
      </w:r>
      <w:hyperlink w:anchor="ref-Vedres2010Structural">
        <w:r>
          <w:rPr>
            <w:rStyle w:val="Hyperlink"/>
          </w:rPr>
          <w:t xml:space="preserve">2010</w:t>
        </w:r>
      </w:hyperlink>
      <w:r>
        <w:t xml:space="preserve">)</w:t>
      </w:r>
      <w:r>
        <w:t xml:space="preserve">.</w:t>
      </w:r>
    </w:p>
    <w:p>
      <w:pPr>
        <w:pStyle w:val="BodyText"/>
      </w:pPr>
      <w:r>
        <w:t xml:space="preserve">What I seek to accomplish in the remainder of this study is to understand how the global disciplinary structure is reflected in the indexing behavior of archivists as they attempt to locate journals within a given classification scheme. Archivists have an important role is distributing the classification system and regulating it across a large population of knowledge seekers. While they do not author the discipline categories they do provide the an infrastructure that facilitates their taken-for-grantedness. In attempting to understand how a particular item of cultural content fits into a classification system, their only degree of freedom is to apply multiple labels to the item. This turns a binary distinction, is this item discipline-relevant or not, into something more nuanced, this item is partly relevant and partly not.</w:t>
      </w:r>
    </w:p>
    <w:p>
      <w:pPr>
        <w:pStyle w:val="BodyText"/>
      </w:pPr>
      <w:r>
        <w:t xml:space="preserve">I use the JSTOR archive as a case of the work of archivists to index cultural material in a way that is useful to consumers. This requires making classification decisions about underlying items. In this case they make decisions about which discipline, which they call subjects, particular journals belong to. And to make every journal fit, they may apply multiple labels in an attempt to cover the content of the journal in a parsimonious way. By observing how the patterns of multiple classification are organized we can see how the disciplinary classification system is adapted to meet the requirements of more granular levels. Rather than marking boundaries of strict relevance, what we will find are regions of proximity within which partial relevance is established. This allows scholars to be innovative without losing their grounding in the discipline system. And for journals who have an interest in stable reproduction of scholarly activity, it allows publishers and editors to position themselves as having jurisdiction over particular kinds of innovation.</w:t>
      </w:r>
    </w:p>
    <w:p>
      <w:pPr>
        <w:pStyle w:val="Heading2"/>
      </w:pPr>
      <w:bookmarkStart w:id="45" w:name="kd-dq1"/>
      <w:r>
        <w:t xml:space="preserve">JSTOR Journals</w:t>
      </w:r>
      <w:bookmarkEnd w:id="45"/>
    </w:p>
    <w:p>
      <w:pPr>
        <w:pStyle w:val="FirstParagraph"/>
      </w:pPr>
      <w:r>
        <w:t xml:space="preserve">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6"/>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7" w:name="network-mode-projection"/>
      <w:r>
        <w:t xml:space="preserve">Network Mode Projection</w:t>
      </w:r>
      <w:bookmarkEnd w:id="47"/>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recorded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5</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5 Mode Conversion on a 300 Edge Random Sample of the JSTOR Title List Label Network" title="" id="1" name="Picture"/>
            <a:graphic>
              <a:graphicData uri="http://schemas.openxmlformats.org/drawingml/2006/picture">
                <pic:pic>
                  <pic:nvPicPr>
                    <pic:cNvPr descr="02_files/figure-docx/mod-proj-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5</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9" w:name="ncd"/>
      <w:r>
        <w:t xml:space="preserve">Network Community Detection</w:t>
      </w:r>
      <w:bookmarkEnd w:id="49"/>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superdisciplines.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share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interdisciplinarity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50" w:name="network-visualization"/>
      <w:r>
        <w:t xml:space="preserve">Network Visualization</w:t>
      </w:r>
      <w:bookmarkEnd w:id="50"/>
    </w:p>
    <w:p>
      <w:pPr>
        <w:pStyle w:val="FirstParagraph"/>
      </w:pPr>
      <w:r>
        <w:t xml:space="preserve">Figure</w:t>
      </w:r>
      <w:r>
        <w:t xml:space="preserve"> </w:t>
      </w:r>
      <w:r>
        <w:t xml:space="preserve">6</w:t>
      </w:r>
      <w:r>
        <w:t xml:space="preserve"> </w:t>
      </w:r>
      <w:r>
        <w:t xml:space="preserve">visualizes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6</w:t>
      </w:r>
      <w:r>
        <w:t xml:space="preserve"> </w:t>
      </w:r>
      <w:r>
        <w:t xml:space="preserve">plots the results of a latent space model on the label facet omitting superdiscipline nodes. Figure</w:t>
      </w:r>
      <w:r>
        <w:t xml:space="preserve"> </w:t>
      </w:r>
      <w:r>
        <w:t xml:space="preserve">7</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6 Discipline Network in Latent Space." title="" id="1" name="Picture"/>
            <a:graphic>
              <a:graphicData uri="http://schemas.openxmlformats.org/drawingml/2006/picture">
                <pic:pic>
                  <pic:nvPicPr>
                    <pic:cNvPr descr="02_files/figure-docx/jclu-lnet-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Discipline Network in Latent Space.</w:t>
      </w:r>
    </w:p>
    <w:p>
      <w:pPr>
        <w:pStyle w:val="CaptionedFigure"/>
      </w:pPr>
      <w:r>
        <w:drawing>
          <wp:inline>
            <wp:extent cx="5334000" cy="3429000"/>
            <wp:effectExtent b="0" l="0" r="0" t="0"/>
            <wp:docPr descr="Figure 7 Fruchterman Reingold and latent space layouts compared. Interactive pop-out." title="" id="1" name="Picture"/>
            <a:graphic>
              <a:graphicData uri="http://schemas.openxmlformats.org/drawingml/2006/picture">
                <pic:pic>
                  <pic:nvPicPr>
                    <pic:cNvPr descr="img/layouts.png" id="0" name="Picture"/>
                    <pic:cNvPicPr>
                      <a:picLocks noChangeArrowheads="1" noChangeAspect="1"/>
                    </pic:cNvPicPr>
                  </pic:nvPicPr>
                  <pic:blipFill>
                    <a:blip r:embed="rId5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7 Fruchterman Reingold and latent space layouts compared.</w:t>
      </w:r>
      <w:r>
        <w:t xml:space="preserve"> </w:t>
      </w:r>
      <w:hyperlink r:id="rId53">
        <w:r>
          <w:rPr>
            <w:i/>
            <w:rStyle w:val="Hyperlink"/>
          </w:rPr>
          <w:t xml:space="preserve">Interactive pop-out.</w:t>
        </w:r>
      </w:hyperlink>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BodyText"/>
      </w:pPr>
      <w:r>
        <w:t xml:space="preserve">Table</w:t>
      </w:r>
      <w:r>
        <w:t xml:space="preserve"> </w:t>
      </w:r>
      <w:r>
        <w:t xml:space="preserve">3</w:t>
      </w:r>
      <w:r>
        <w:t xml:space="preserve"> </w:t>
      </w:r>
      <w:r>
        <w:t xml:space="preserve">reports the disciplines by their superdiscipline as well as their sociality, which is reported as the exponentiated regression coefficient. The sociality term is a multiplier, which means that to predict the number of journals bearing the label of each of two disciplines you multiply the average or expected number of ties by the sociality term of the first discipline and again by the term of the second discipline. When the multiplier is greater than zero we expect more ties, when less than zero fewer ties. Does this mean we should expect the most ties to occur between the nodes with the two largest sociality terms, here business and political science? Not necessarily, because these effects are also combined with a term that is the inverse of the probability of a tie independent of sociality, which is given by the distance between their positions in the latent space. Because business and political science are not very close together, the big effect of their combined sociality is offset by the longer distance between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Heading2"/>
      </w:pPr>
      <w:bookmarkStart w:id="54" w:name="discussion"/>
      <w:r>
        <w:t xml:space="preserve">Discussion</w:t>
      </w:r>
      <w:bookmarkEnd w:id="54"/>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Science &amp; Mathematics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r>
        <w:t xml:space="preserve"> </w:t>
      </w: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Science &amp; Mathematics and the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overinterpretation risks a narcissism of small differences.</w:t>
      </w:r>
    </w:p>
    <w:p>
      <w:pPr>
        <w:pStyle w:val="Heading2"/>
      </w:pPr>
      <w:bookmarkStart w:id="55" w:name="cartography-of-classification"/>
      <w:r>
        <w:t xml:space="preserve">Cartography of Classification</w:t>
      </w:r>
      <w:bookmarkEnd w:id="55"/>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 What the present study does is provide a framework in which the cognitive act of labeling can be represented. Representation in turn opens up opportunities to compare multiple representations, and to ask questions about how competing systems may influence each other.</w:t>
      </w:r>
    </w:p>
    <w:p>
      <w:pPr>
        <w:pStyle w:val="BodyText"/>
      </w:pPr>
      <w:r>
        <w:t xml:space="preserve">The real value of the methods outlined above is that it helps to represent the global patterns of local decisions. Researchers often treat genre classifications as given features of language and the culture of their time. The assumption here is that there is a classification system held in common by all actors in a culture. Yet this does not necessarily comport with claims that genre systems are also fluid and contested. Are they contested out of a deliberate attempt to subvert the status quo, or are they contested out of error or ignorance of the same? Do disagreements simply reflect preferences for an alternative classification?</w:t>
      </w:r>
    </w:p>
    <w:p>
      <w:pPr>
        <w:pStyle w:val="BodyText"/>
      </w:pPr>
      <w:r>
        <w:t xml:space="preserve">A question for further research is whether the archivist’s cognitive map is the same one that one of their role partners, for instance a scholar or a student, would share. We might expect that because this map given by JSTOR is at a medium level of granularity–compared for instance to the thousands of possible subclassifications within each superdiscipline, or the even coarser distinction between art and science–that it may have a big influence on neophytes who may have little experience with scholarship, but that it may be resisted by experts who have a more complicated view of their own domain. The ability to bridge these very different levels of expertise may itself explain how archivists would arrive at this particular resolution of categories.</w:t>
      </w:r>
    </w:p>
    <w:p>
      <w:pPr>
        <w:pStyle w:val="BodyText"/>
      </w:pPr>
      <w:r>
        <w:t xml:space="preserve">The next phase of this research then requires the acquisition of more labeling systems, and the generation of more maps. This will no doubt open up new methodological problems and opportunities, such as whether the morphology of a particular map can be matched to another even if the underlying labels are different. I hope that this first step opens the door to new problems whose study will bring us closer to understanding what genre systems really are and the effect they have on our understanding and use of knowledge.</w:t>
      </w:r>
    </w:p>
    <w:p>
      <w:pPr>
        <w:pStyle w:val="Heading1"/>
      </w:pPr>
      <w:bookmarkStart w:id="56" w:name="gen"/>
      <w:r>
        <w:t xml:space="preserve">Genre and the Literature</w:t>
      </w:r>
      <w:bookmarkEnd w:id="56"/>
    </w:p>
    <w:p>
      <w:pPr>
        <w:pStyle w:val="Heading4"/>
      </w:pPr>
      <w:bookmarkStart w:id="57" w:name="abstract-2"/>
      <w:r>
        <w:t xml:space="preserve">Abstract</w:t>
      </w:r>
      <w:bookmarkEnd w:id="57"/>
    </w:p>
    <w:p>
      <w:pPr>
        <w:pStyle w:val="FirstParagraph"/>
      </w:pPr>
      <w:r>
        <w:t xml:space="preserve">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Such stratification serves as a cartography of textual content, which allows one to generate a precise reading strategy. I use this text map to perform content analysis on a stratified sample of classified texts to compare their different uses of the term genre. In an examination of the benefits and hazards of this distant reading approach, I outline a battery of diagnostics to examine the validity of the topic model from both quantitative and qualitative perspectives. Through a combination of machine distant reading and human close reading, I conduct a provisional reading of texts in one region of the topic cartography, music. I show how the map usefully juxtaposes multiple disciplines as they discuss similar content, which makes comparative analysis more productive.</w:t>
      </w:r>
    </w:p>
    <w:p>
      <w:pPr>
        <w:pStyle w:val="Heading4"/>
      </w:pPr>
      <w:bookmarkStart w:id="58" w:name="keywords-2"/>
      <w:r>
        <w:t xml:space="preserve">Keywords</w:t>
      </w:r>
      <w:bookmarkEnd w:id="58"/>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genre dates to 1770 and has been restricted to mean a broad category of art, especially literature and music. More recently it has been generalized to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In its travels in American culture the term genre has passed first from its origin in the arts and literary studies, then into the popular parlance, and finally into the social sciences. The concept of genre was invented to help index and analyze texts by uncovering the immemorial traditions from which they descended. This image of cultural descent derived from the metaphor of genealogical descent that was the foundation of, for instance, ethnic nationalism. And in the same way that the genealogy of a person’s race could be inferred by the application of a classification rule to their personal characteristics, without actually knowing their genealogy, so too were artistic genres described in terms of a set of textual features.</w:t>
      </w:r>
    </w:p>
    <w:p>
      <w:pPr>
        <w:pStyle w:val="BodyText"/>
      </w:pPr>
      <w:r>
        <w:t xml:space="preserve">It is no coincidence that genre, gender, genesis, genealogy, and generation have a common root. What is underappreciated by sociologists is the essentialist underpinnings of each of the terms including genre. Without a handle on this term and a methodological and theoretical orientation to deploying it, it is easy to allow essentialism to be smuggled in to an analysis of culture the objective of which may be to explain rather than presume cultural forms.</w:t>
      </w:r>
    </w:p>
    <w:p>
      <w:pPr>
        <w:pStyle w:val="BodyText"/>
      </w:pPr>
      <w:r>
        <w:t xml:space="preserve">Indeed the positing of a genre allowed scholars to collect texts and their authors into common categories and to then make a type that seems to describe what the items have in common. Their utility for the scholar of texts was in bringing order to disorganized materials, but what was difficult to predict was that these analytical tools would be reinscribed into the cultures they aimed to shed light on. This cultural recursion was then merely received by social scientists who have since stood on the shifting sands of using the term in its popular meaning without interrogating its literary meaning.</w:t>
      </w:r>
    </w:p>
    <w:p>
      <w:pPr>
        <w:pStyle w:val="BodyText"/>
      </w:pPr>
      <w:r>
        <w:t xml:space="preserve">When compared to for instance racist reasoning, it may seem innocent to essentialize texts by applying genre labels to them. As the growth and differentiation of cultural production continued to accelerate especially in capitalist societies genre labels became indispensable for organizing markets. Cultural purists could no longer presume that, or presume to know if, seemingly new art forms are descended from tradition. The term eventually shifted away from a presumption of descent, but it did not lose its typifying, classifying, essentializing character.</w:t>
      </w:r>
    </w:p>
    <w:p>
      <w:pPr>
        <w:pStyle w:val="BodyText"/>
      </w:pPr>
      <w:r>
        <w:t xml:space="preserve">In sociology at least neither the literary nor the popular uses of the terms are valid for scientific purposes. That is, sociologists should avoid the magic of classification that has been so carefully critiqued in the social construction tradition of Berger and Luckman</w:t>
      </w:r>
      <w:r>
        <w:t xml:space="preserve"> </w:t>
      </w:r>
      <w:r>
        <w:t xml:space="preserve">(</w:t>
      </w:r>
      <w:hyperlink w:anchor="ref-Berger1966Social">
        <w:r>
          <w:rPr>
            <w:rStyle w:val="Hyperlink"/>
          </w:rPr>
          <w:t xml:space="preserve">1966</w:t>
        </w:r>
      </w:hyperlink>
      <w:r>
        <w:t xml:space="preserve">)</w:t>
      </w:r>
      <w:r>
        <w:t xml:space="preserve">. Classification as a social process tends to create the self-similarity that it purports to describe. Genre labels condition the interpretation of a text’s characteristics to conform to the often tacit rules governing category membership. In so doing it also effaces differences that, were it not for the genre label, might appear to be essential to the constitution of the item.</w:t>
      </w:r>
    </w:p>
    <w:p>
      <w:pPr>
        <w:pStyle w:val="BodyText"/>
      </w:pPr>
      <w:r>
        <w:t xml:space="preserve">The problem for sociologists arises when they attempt to have their cake and eat it too. A genre label is a powerful tool for simplifying cultural objects that may be overwhelming in the raw complexity of the knowledge they invoke or the perceptual stimulus they transmit. Schutz</w:t>
      </w:r>
      <w:r>
        <w:t xml:space="preserve"> </w:t>
      </w:r>
      <w:r>
        <w:t xml:space="preserve">(</w:t>
      </w:r>
      <w:hyperlink w:anchor="ref-Schutz1970Reflections">
        <w:r>
          <w:rPr>
            <w:rStyle w:val="Hyperlink"/>
          </w:rPr>
          <w:t xml:space="preserve">1970</w:t>
        </w:r>
      </w:hyperlink>
      <w:r>
        <w:t xml:space="preserve">)</w:t>
      </w:r>
      <w:r>
        <w:t xml:space="preserve"> </w:t>
      </w:r>
      <w:r>
        <w:t xml:space="preserve">has shown that with experience people become excellent at sorting what they perceive according to its relevance to them. They do this in a process called typification, which is related to but not the same as classification. Typification is the learned association of a new object with a category that is equal to the memory of recently perceived objects. It is a chain of association. The act of memory is however an encryption, a portable and above all minimal description of the truth of a thing. To typify something is to link it to memory and experience, and also to occlude its novelty and force its familiarity.</w:t>
      </w:r>
    </w:p>
    <w:p>
      <w:pPr>
        <w:pStyle w:val="BodyText"/>
      </w:pPr>
      <w:r>
        <w:t xml:space="preserve">Classification, on the other hand, is a culturally given category. It is the pattern of a type without need of experience of the type to learn it. What experience is needed is only of the act of classification itself. Classifications are learned by education or mimicry and can be instantiated in the mind prior to experience. Classifications promote a generalized dilettantism in societies by supercharging of the process of typification. What’s more, classification has the weight of society in it. Types may be idiosyncratic but classes are ubiquitous. Because classes provide a template for types, they are one mechanism by which social conformity may dominate personal idiosyncrasy. It may be very difficult for individuals who experience the world for the first time to not develop typifications that follow in the well trodden grooves of classifications.</w:t>
      </w:r>
    </w:p>
    <w:p>
      <w:pPr>
        <w:pStyle w:val="BodyText"/>
      </w:pPr>
      <w:r>
        <w:t xml:space="preserve">The sociological agenda for investigating the term is simple; without studying what it means we cannot know how our use of it will be interpreted. Sociologists too often use genre as if it were a descriptive feature of the world. In fact it is a mystery that needs to be investigated. In this study I take a metadisciplinary approach to studying how different communities of scholars use the term genre. My method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What I hope to do is uncover the knowledge contexts surrounding the terms, and map these contexts in a way that enumerates the various communities of discourse and theories constituting the term.</w:t>
      </w:r>
    </w:p>
    <w:p>
      <w:pPr>
        <w:pStyle w:val="BodyText"/>
      </w:pPr>
      <w:r>
        <w:t xml:space="preserve">Figure</w:t>
      </w:r>
      <w:r>
        <w:t xml:space="preserve"> </w:t>
      </w:r>
      <w:r>
        <w:t xml:space="preserve">8</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CaptionedFigure"/>
      </w:pPr>
      <w:r>
        <w:drawing>
          <wp:inline>
            <wp:extent cx="4620126" cy="3696101"/>
            <wp:effectExtent b="0" l="0" r="0" t="0"/>
            <wp:docPr descr="Figure 8 Absolute count of term “genre”, 1901-2008." title="" id="1" name="Picture"/>
            <a:graphic>
              <a:graphicData uri="http://schemas.openxmlformats.org/drawingml/2006/picture">
                <pic:pic>
                  <pic:nvPicPr>
                    <pic:cNvPr descr="03_files/figure-docx/ttsgnr-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8 Absolute count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9</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9 Relative frequency of the term “genre”, 1901-2008." title="" id="1" name="Picture"/>
            <a:graphic>
              <a:graphicData uri="http://schemas.openxmlformats.org/drawingml/2006/picture">
                <pic:pic>
                  <pic:nvPicPr>
                    <pic:cNvPr descr="03_files/figure-docx/ttsgnr2-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9 Relative frequency of the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10</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10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61"/>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10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BodyText"/>
      </w:pPr>
      <w:r>
        <w:t xml:space="preserve">In order to survey the use of the term genre across all of these varied contexts, I will require some help. In the next section I describe a computational approach to reading that will enable me to spend my reading budget wisely. This is easier said than done, and I will spend considerable time worrying about how to interpret a mathematical model of texts. After a lengthy methodological discussion I will return to a closer inspection of the diversity of the term.</w:t>
      </w:r>
    </w:p>
    <w:p>
      <w:pPr>
        <w:pStyle w:val="Heading2"/>
      </w:pPr>
      <w:bookmarkStart w:id="62" w:name="method"/>
      <w:r>
        <w:t xml:space="preserve">Method</w:t>
      </w:r>
      <w:bookmarkEnd w:id="62"/>
    </w:p>
    <w:p>
      <w:pPr>
        <w:pStyle w:val="FirstParagraph"/>
      </w:pPr>
      <w:r>
        <w:t xml:space="preserve">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3" w:name="distant-sampling"/>
      <w:r>
        <w:t xml:space="preserve">Distant sampling</w:t>
      </w:r>
      <w:bookmarkEnd w:id="63"/>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could use a simple term search of the keyword</w:t>
      </w:r>
      <w:r>
        <w:t xml:space="preserve"> </w:t>
      </w:r>
      <w:r>
        <w:t xml:space="preserve">“</w:t>
      </w:r>
      <w:r>
        <w:t xml:space="preserve">genre</w:t>
      </w:r>
      <w:r>
        <w:t xml:space="preserve">”</w:t>
      </w:r>
      <w:r>
        <w:t xml:space="preserve"> </w:t>
      </w:r>
      <w:r>
        <w:t xml:space="preserve">to define a sampling frame. 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I have discussed above as disciplinary and subdisciplinary groupings, here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bag-of-words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I said that I wish to typify and enumerate the different uses of the term genre. By qualitative analysis, I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I want even for too small a sample. I am not a humanist and have not been trained in text analysis (this will hound me no matter what). Fatigue will set in, and accuracy and consistency will suffer. I may limit my set of theories to spare myself the agony of complexity. It will be hard to reproduce my results. There may be path dependency with a different reading order producing different theories. On the upside, I would be more educated for it.</w:t>
      </w:r>
    </w:p>
    <w:p>
      <w:pPr>
        <w:pStyle w:val="BodyText"/>
      </w:pPr>
      <w:r>
        <w:t xml:space="preserve">Instead, I will stratify the sample, and it is in the configuration of the strata that much of the work will be done. The strata impose upon my interpretation of the texts the assumption of sameness. And as I will discuss this is a powerful source of bias.</w:t>
      </w:r>
    </w:p>
    <w:p>
      <w:pPr>
        <w:pStyle w:val="Heading3"/>
      </w:pPr>
      <w:bookmarkStart w:id="64" w:name="no-cigar"/>
      <w:r>
        <w:t xml:space="preserve">No cigar</w:t>
      </w:r>
      <w:bookmarkEnd w:id="64"/>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5"/>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I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It also reduces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6" w:name="topic-models"/>
      <w:r>
        <w:t xml:space="preserve">Topic Models</w:t>
      </w:r>
      <w:bookmarkEnd w:id="66"/>
    </w:p>
    <w:p>
      <w:pPr>
        <w:pStyle w:val="FirstParagraph"/>
      </w:pPr>
      <w:r>
        <w:t xml:space="preserve">I have referred generically to computational text analysis, and now I can discuss the topic model as my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7" w:name="choosing-k"/>
      <w:r>
        <w:t xml:space="preserve">Choosing</w:t>
      </w:r>
      <w:r>
        <w:t xml:space="preserve"> </w:t>
      </w:r>
      <m:oMath>
        <m:r>
          <m:t>K</m:t>
        </m:r>
      </m:oMath>
      <w:bookmarkEnd w:id="67"/>
    </w:p>
    <w:p>
      <w:pPr>
        <w:pStyle w:val="FirstParagraph"/>
      </w:pPr>
      <w:r>
        <w:t xml:space="preserve">Finally, topic models require the analyst to choose the number of topics</w:t>
      </w:r>
      <w:r>
        <w:t xml:space="preserve"> </w:t>
      </w:r>
      <m:oMath>
        <m:r>
          <m:t>K</m:t>
        </m:r>
      </m:oMath>
      <w:r>
        <w:t xml:space="preserve">. The approach I take to guiding this decision is not to expect one correct specification of</w:t>
      </w:r>
      <w:r>
        <w:t xml:space="preserve"> </w:t>
      </w:r>
      <m:oMath>
        <m:r>
          <m:t>K</m:t>
        </m:r>
      </m:oMath>
      <w:r>
        <w:t xml:space="preserve"> </w:t>
      </w:r>
      <w:r>
        <w:t xml:space="preserve">but rather to see it as a changing resolution. A</w:t>
      </w:r>
      <w:r>
        <w:t xml:space="preserve"> </w:t>
      </w:r>
      <m:oMath>
        <m:r>
          <m:t>K</m:t>
        </m:r>
      </m:oMath>
      <w:r>
        <w:t xml:space="preserve"> </w:t>
      </w:r>
      <w:r>
        <w:t xml:space="preserve">= 2 model usefully bifurcates the sample and is not simply wrong because it is too restrictive. As</w:t>
      </w:r>
      <w:r>
        <w:t xml:space="preserve"> </w:t>
      </w:r>
      <m:oMath>
        <m:r>
          <m:t>K</m:t>
        </m:r>
      </m:oMath>
      <w:r>
        <w:t xml:space="preserve"> </w:t>
      </w:r>
      <w:r>
        <w:t xml:space="preserve">increases I expect the samples to continue to divide as new parameter spaces become available to partition the sample. While this is not strictly a hierarchical design, since each</w:t>
      </w:r>
      <w:r>
        <w:t xml:space="preserve"> </w:t>
      </w:r>
      <m:oMath>
        <m:r>
          <m:t>K</m:t>
        </m:r>
      </m:oMath>
      <w:r>
        <w:t xml:space="preserve"> </w:t>
      </w:r>
      <w:r>
        <w:t xml:space="preserve">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w:t>
      </w:r>
      <w:r>
        <w:t xml:space="preserve"> </w:t>
      </w:r>
      <m:oMath>
        <m:r>
          <m:t>K</m:t>
        </m:r>
      </m:oMath>
      <w:r>
        <w:t xml:space="preserve"> </w:t>
      </w:r>
      <w:r>
        <w:t xml:space="preserve">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w:t>
      </w:r>
      <w:r>
        <w:t xml:space="preserve"> </w:t>
      </w:r>
      <m:oMath>
        <m:r>
          <m:t>K</m:t>
        </m:r>
      </m:oMath>
      <w:r>
        <w:t xml:space="preserve">,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I expect to see splitting of larger topics as the resolution increases to meet the real diversity. Hierarchy will reveal itself as topics with stronger topic signals subsume weaker ones until</w:t>
      </w:r>
      <w:r>
        <w:t xml:space="preserve"> </w:t>
      </w:r>
      <m:oMath>
        <m:r>
          <m:t>K</m:t>
        </m:r>
      </m:oMath>
      <w:r>
        <w:t xml:space="preserve"> </w:t>
      </w:r>
      <w:r>
        <w:t xml:space="preserve">reaches a point where there is enough space to separate them. On the other hand, in the classic trade-off between variance and bias, where</w:t>
      </w:r>
      <w:r>
        <w:t xml:space="preserve"> </w:t>
      </w:r>
      <m:oMath>
        <m:r>
          <m:t>K</m:t>
        </m:r>
      </m:oMath>
      <w:r>
        <w:t xml:space="preserve"> </w:t>
      </w:r>
      <w:r>
        <w:t xml:space="preserve">overshoots the true number of topics, I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w:t>
      </w:r>
      <w:r>
        <w:t xml:space="preserve"> </w:t>
      </w:r>
      <m:oMath>
        <m:r>
          <m:t>K</m:t>
        </m:r>
      </m:oMath>
      <w:r>
        <w:t xml:space="preserve"> </w:t>
      </w:r>
      <w:r>
        <w:t xml:space="preserve">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I expect the most dominant topics, those that appear at low</w:t>
      </w:r>
      <w:r>
        <w:t xml:space="preserve"> </w:t>
      </w:r>
      <m:oMath>
        <m:r>
          <m:t>K</m:t>
        </m:r>
      </m:oMath>
      <w:r>
        <w:t xml:space="preserve"> </w:t>
      </w:r>
      <w:r>
        <w:t xml:space="preserve">and remain stable as</w:t>
      </w:r>
      <w:r>
        <w:t xml:space="preserve"> </w:t>
      </w:r>
      <m:oMath>
        <m:r>
          <m:t>K</m:t>
        </m:r>
      </m:oMath>
      <w:r>
        <w:t xml:space="preserve"> </w:t>
      </w:r>
      <w:r>
        <w:t xml:space="preserve">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 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I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I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w:t>
      </w:r>
      <w:r>
        <w:t xml:space="preserve"> </w:t>
      </w:r>
      <m:oMath>
        <m:r>
          <m:t>K</m:t>
        </m:r>
      </m:oMath>
      <w:r>
        <w:t xml:space="preserve"> </w:t>
      </w:r>
      <w:r>
        <w:t xml:space="preserve">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8"/>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w:t>
      </w:r>
      <w:r>
        <w:t xml:space="preserve"> </w:t>
      </w:r>
      <m:oMath>
        <m:r>
          <m:t>K</m:t>
        </m:r>
      </m:oMath>
      <w:r>
        <w:t xml:space="preserve"> </w:t>
      </w:r>
      <w:r>
        <w:t xml:space="preserve">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I have termed contamination at the cost of losing information that we may care about. Thus for sparse model techniques to be used responsibly document residuals would need to be calculated to help recover the unmodeled portions of the texts. The model diagnostics I explore below attempt to separate model parameters into common and idiosyncratic elements, the difference being whether the idiosyncrasy is located in the topic model or in the residuals.</w:t>
      </w:r>
    </w:p>
    <w:p>
      <w:pPr>
        <w:pStyle w:val="Heading4"/>
      </w:pPr>
      <w:bookmarkStart w:id="69" w:name="bias"/>
      <w:r>
        <w:t xml:space="preserve">Bias</w:t>
      </w:r>
      <w:bookmarkEnd w:id="69"/>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w:t>
      </w:r>
      <w:r>
        <w:t xml:space="preserve"> </w:t>
      </w:r>
      <m:oMath>
        <m:r>
          <m:t>K</m:t>
        </m:r>
        <m:r>
          <m:t>+</m:t>
        </m:r>
        <m:r>
          <m:t>N</m:t>
        </m:r>
      </m:oMath>
      <w:r>
        <w:t xml:space="preserve"> </w:t>
      </w:r>
      <w:r>
        <w:t xml:space="preserve">where</w:t>
      </w:r>
      <w:r>
        <w:t xml:space="preserve"> </w:t>
      </w:r>
      <m:oMath>
        <m:r>
          <m:t>N</m:t>
        </m:r>
      </m:oMath>
      <w:r>
        <w:t xml:space="preserve"> </w:t>
      </w:r>
      <w:r>
        <w:t xml:space="preserve">is the number of texts and practically always much greater than</w:t>
      </w:r>
      <w:r>
        <w:t xml:space="preserve"> </w:t>
      </w:r>
      <m:oMath>
        <m:r>
          <m:t>K</m:t>
        </m:r>
      </m:oMath>
      <w:r>
        <w:t xml:space="preserve">.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w:t>
      </w:r>
      <w:r>
        <w:t xml:space="preserve"> </w:t>
      </w:r>
      <m:oMath>
        <m:r>
          <m:t>N</m:t>
        </m:r>
      </m:oMath>
      <w:r>
        <w:t xml:space="preserve"> </w:t>
      </w:r>
      <w:r>
        <w:t xml:space="preserve">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I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r>
        <w:t xml:space="preserve"> </w:t>
      </w: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70" w:name="qualitative-cross-validation"/>
      <w:r>
        <w:t xml:space="preserve">Qualitative Cross Validation</w:t>
      </w:r>
      <w:bookmarkEnd w:id="70"/>
    </w:p>
    <w:p>
      <w:pPr>
        <w:pStyle w:val="FirstParagraph"/>
      </w:pPr>
      <w:r>
        <w:t xml:space="preserve">To be sure, topic model parameters may be biased by misspecification, and if I am being fair, by the gargantuan task I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I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I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71" w:name="data"/>
      <w:r>
        <w:t xml:space="preserve">Data</w:t>
      </w:r>
      <w:bookmarkEnd w:id="71"/>
    </w:p>
    <w:p>
      <w:pPr>
        <w:pStyle w:val="FirstParagraph"/>
      </w:pPr>
      <w:r>
        <w:t xml:space="preserve">The JSTOR Data for Research service allows researchers to download non-consumable versions of full text in very large samples up to 25,000 documents. I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2"/>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11</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 1982</w:t>
      </w:r>
      <w:r>
        <w:t xml:space="preserve"> </w:t>
      </w:r>
      <w:r>
        <w:t xml:space="preserve">“</w:t>
      </w:r>
      <w:r>
        <w:t xml:space="preserve">Editorial: The Genre Revival.</w:t>
      </w:r>
      <w:r>
        <w:t xml:space="preserve">”</w:t>
      </w:r>
      <w:r>
        <w:rPr>
          <w:rStyle w:val="FootnoteReference"/>
        </w:rPr>
        <w:footnoteReference w:id="73"/>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I would expect the idiosyncrasy to be 12/13 or 92.3 percent, which also illustrates how terms that are not in the Roman alphabet may be discarded as OCR errors even prior to the idiosyncrasy measurement.</w:t>
      </w:r>
    </w:p>
    <w:p>
      <w:pPr>
        <w:pStyle w:val="CaptionedFigure"/>
      </w:pPr>
      <w:r>
        <w:drawing>
          <wp:inline>
            <wp:extent cx="4620126" cy="3696101"/>
            <wp:effectExtent b="0" l="0" r="0" t="0"/>
            <wp:docPr descr="Figure 11 Distribution of idiosyncracy, the proportion of document vocabularly dropped during pre-processing." title="" id="1" name="Picture"/>
            <a:graphic>
              <a:graphicData uri="http://schemas.openxmlformats.org/drawingml/2006/picture">
                <pic:pic>
                  <pic:nvPicPr>
                    <pic:cNvPr descr="03_files/figure-docx/idi-hi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Distribution of idiosyncracy, the proportion of document vocabularly dropped during pre-processing.</w:t>
      </w:r>
    </w:p>
    <w:p>
      <w:pPr>
        <w:pStyle w:val="BodyText"/>
      </w:pPr>
      <w:r>
        <w:t xml:space="preserve">Figure</w:t>
      </w:r>
      <w:r>
        <w:t xml:space="preserve"> </w:t>
      </w:r>
      <w:r>
        <w:t xml:space="preserve">12</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5"/>
      </w:r>
      <w:r>
        <w:t xml:space="preserve">, a single page introduction in a special issue of</w:t>
      </w:r>
      <w:r>
        <w:t xml:space="preserve"> </w:t>
      </w:r>
      <w:r>
        <w:rPr>
          <w:i/>
        </w:rPr>
        <w:t xml:space="preserve">Literature/Film Quarterly</w:t>
      </w:r>
      <w:r>
        <w:t xml:space="preserve"> </w:t>
      </w:r>
      <w:r>
        <w:t xml:space="preserve">on genres.</w:t>
      </w:r>
    </w:p>
    <w:p>
      <w:pPr>
        <w:pStyle w:val="CaptionedFigure"/>
      </w:pPr>
      <w:r>
        <w:drawing>
          <wp:inline>
            <wp:extent cx="4620126" cy="3696101"/>
            <wp:effectExtent b="0" l="0" r="0" t="0"/>
            <wp:docPr descr="Figure 12 Distribution of log_{10} of the count of the term “genre” as a proportion of all terms in a text. Pluses indicate outliers." title="" id="1" name="Picture"/>
            <a:graphic>
              <a:graphicData uri="http://schemas.openxmlformats.org/drawingml/2006/picture">
                <pic:pic>
                  <pic:nvPicPr>
                    <pic:cNvPr descr="03_files/figure-docx/gp-hist-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12 Distribution of</w:t>
      </w:r>
      <w:r>
        <w:t xml:space="preserve"> </w:t>
      </w:r>
      <m:oMath>
        <m:r>
          <m:t>l</m:t>
        </m:r>
        <m:r>
          <m:t>o</m:t>
        </m:r>
        <m:sSub>
          <m:e>
            <m:r>
              <m:t>g</m:t>
            </m:r>
          </m:e>
          <m:sub>
            <m:r>
              <m:t>10</m:t>
            </m:r>
          </m:sub>
        </m:sSub>
      </m:oMath>
      <w:r>
        <w:t xml:space="preserve"> </w:t>
      </w:r>
      <w:r>
        <w:t xml:space="preserve">of the count of the term</w:t>
      </w:r>
      <w:r>
        <w:t xml:space="preserve"> </w:t>
      </w:r>
      <w:r>
        <w:t xml:space="preserve">“</w:t>
      </w:r>
      <w:r>
        <w:t xml:space="preserve">genre</w:t>
      </w:r>
      <w:r>
        <w:t xml:space="preserve">”</w:t>
      </w:r>
      <w:r>
        <w:t xml:space="preserve"> </w:t>
      </w:r>
      <w:r>
        <w:t xml:space="preserve">as a proportion of all terms in a text. Pluses indicate outliers.</w:t>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7"/>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8" w:name="estimation"/>
      <w:r>
        <w:t xml:space="preserve">Estimation</w:t>
      </w:r>
      <w:bookmarkEnd w:id="78"/>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I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I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w:t>
      </w:r>
      <w:r>
        <w:t xml:space="preserve"> </w:t>
      </w:r>
      <w:r>
        <w:rPr>
          <w:rStyle w:val="VerbatimChar"/>
        </w:rPr>
        <w:t xml:space="preserve">stm</w:t>
      </w:r>
      <w:r>
        <w:t xml:space="preserve"> </w:t>
      </w:r>
      <w:r>
        <w:t xml:space="preserve">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I have already discussed two of these, the alpha and sigma priors, which let me control the level of mixture of topics within documents and the correlation of topics respectively. I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I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I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I have mentioned, I will begin with the conventional hyperparameter assumption of the number of topics</w:t>
      </w:r>
      <w:r>
        <w:t xml:space="preserve"> </w:t>
      </w:r>
      <m:oMath>
        <m:r>
          <m:t>K</m:t>
        </m:r>
      </m:oMath>
      <w:r>
        <w:t xml:space="preserve">. I fit nine models in sequence from</w:t>
      </w:r>
      <w:r>
        <w:t xml:space="preserve"> </w:t>
      </w:r>
      <m:oMath>
        <m:r>
          <m:t>K</m:t>
        </m:r>
      </m:oMath>
      <w:r>
        <w:t xml:space="preserve"> </w:t>
      </w:r>
      <w:r>
        <w:t xml:space="preserve">= 2 to</w:t>
      </w:r>
      <w:r>
        <w:t xml:space="preserve"> </w:t>
      </w:r>
      <m:oMath>
        <m:r>
          <m:t>K</m:t>
        </m:r>
      </m:oMath>
      <w:r>
        <w:t xml:space="preserve"> </w:t>
      </w:r>
      <w:r>
        <w:t xml:space="preserve">= 10 in order to use the development of topics through the</w:t>
      </w:r>
      <w:r>
        <w:t xml:space="preserve"> </w:t>
      </w:r>
      <m:oMath>
        <m:r>
          <m:t>K</m:t>
        </m:r>
      </m:oMath>
      <w:r>
        <w:t xml:space="preserve"> </w:t>
      </w:r>
      <w:r>
        <w:t xml:space="preserve">space as context for the interpretation of the focal ten topic model. I set the sigma prior to zero to allow for the free estimation of document by topic correlations, which can be set as high as one to mitigate the CTM. I use spectral initialization, which recall relies on the anchor words assumption to facilitate a determinate solution the topic by term matrix that is then updated to find a more likely within document topic mixture. In spectral initialization there is no alpha concentration parameter as in LDA, and because I do not use L1 regularization I create no preference during estimation for sparse, concentrated document by topic distributions. These choices favor a less biased and more saturated model.</w:t>
      </w:r>
    </w:p>
    <w:p>
      <w:pPr>
        <w:pStyle w:val="BodyText"/>
      </w:pPr>
      <w:r>
        <w:t xml:space="preserve">To set up QCV prior to model inspection, I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9" w:name="diagnostics"/>
      <w:r>
        <w:t xml:space="preserve">Diagnostics</w:t>
      </w:r>
      <w:bookmarkEnd w:id="79"/>
    </w:p>
    <w:p>
      <w:pPr>
        <w:pStyle w:val="FirstParagraph"/>
      </w:pPr>
      <w:r>
        <w:t xml:space="preserve">Having fit nine models sequentially from</w:t>
      </w:r>
      <w:r>
        <w:t xml:space="preserve"> </w:t>
      </w:r>
      <m:oMath>
        <m:r>
          <m:t>K</m:t>
        </m:r>
      </m:oMath>
      <w:r>
        <w:t xml:space="preserve"> </w:t>
      </w:r>
      <w:r>
        <w:t xml:space="preserve">= 2 to</w:t>
      </w:r>
      <w:r>
        <w:t xml:space="preserve"> </w:t>
      </w:r>
      <m:oMath>
        <m:r>
          <m:t>K</m:t>
        </m:r>
      </m:oMath>
      <w:r>
        <w:t xml:space="preserve"> </w:t>
      </w:r>
      <w:r>
        <w:t xml:space="preserve">= 10, I alight on the final as the focal model given that I assume that at ten topics I have still underspecified</w:t>
      </w:r>
      <w:r>
        <w:t xml:space="preserve"> </w:t>
      </w:r>
      <m:oMath>
        <m:r>
          <m:t>K</m:t>
        </m:r>
      </m:oMath>
      <w:r>
        <w:t xml:space="preserve">.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I divide the diagnostics into two sections, lower tail probabilities and topic graphs.</w:t>
      </w:r>
    </w:p>
    <w:p>
      <w:pPr>
        <w:pStyle w:val="Heading3"/>
      </w:pPr>
      <w:bookmarkStart w:id="80" w:name="lower-tail-probabilities"/>
      <w:r>
        <w:t xml:space="preserve">Lower tail probabilities</w:t>
      </w:r>
      <w:bookmarkEnd w:id="80"/>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81" w:name="ghost-probability"/>
      <w:r>
        <w:t xml:space="preserve">Ghost probability</w:t>
      </w:r>
      <w:bookmarkEnd w:id="81"/>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I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13</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CaptionedFigure"/>
      </w:pPr>
      <w:r>
        <w:drawing>
          <wp:inline>
            <wp:extent cx="4620126" cy="3696101"/>
            <wp:effectExtent b="0" l="0" r="0" t="0"/>
            <wp:docPr descr="Figure 13 Ghost probabilities, the sum of document proportion of terms predicted to be present but are actually missing, by document length." title="" id="1" name="Picture"/>
            <a:graphic>
              <a:graphicData uri="http://schemas.openxmlformats.org/drawingml/2006/picture">
                <pic:pic>
                  <pic:nvPicPr>
                    <pic:cNvPr descr="03_files/figure-docx/ghostN-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13 Ghost probabilities, the sum of document proportion of terms predicted to be present but are actually missing, by document length.</w:t>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3" w:name="junk-terms"/>
      <w:r>
        <w:t xml:space="preserve">Junk terms</w:t>
      </w:r>
      <w:bookmarkEnd w:id="83"/>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I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I do not expect language to work this way; what is more common is that junk terms are parts of suppressed topics, which would emerge at a higher</w:t>
      </w:r>
      <w:r>
        <w:t xml:space="preserve"> </w:t>
      </w:r>
      <m:oMath>
        <m:r>
          <m:t>K</m:t>
        </m:r>
      </m:oMath>
      <w:r>
        <w:t xml:space="preserve">,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w:t>
      </w:r>
      <w:r>
        <w:t xml:space="preserve"> </w:t>
      </w:r>
      <m:oMath>
        <m:r>
          <m:t>K</m:t>
        </m:r>
      </m:oMath>
      <w:r>
        <w:t xml:space="preserve">.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my case I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w:t>
      </w:r>
      <w:r>
        <w:t xml:space="preserve"> </w:t>
      </w:r>
      <m:oMath>
        <m:r>
          <m:t>K</m:t>
        </m:r>
      </m:oMath>
      <w:r>
        <w:t xml:space="preserve"> </w:t>
      </w:r>
      <w:r>
        <w:t xml:space="preserve">=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I expect to be poorly classified, that is, that has a large portion of its explained words deriving from a topic’s lower tail. The document in question, a chapter from Mason and McCruden’s 2011</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4"/>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Mason and McCruden’s 2011</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w:t>
      </w:r>
    </w:p>
    <w:p>
      <w:pPr>
        <w:pStyle w:val="Compact"/>
      </w:pPr>
      <w:r>
        <w:t xml:space="preserve">N Terms Explained</w:t>
      </w:r>
    </w:p>
    <w:p>
      <w:pPr>
        <w:pStyle w:val="Compact"/>
      </w:pPr>
      <w:r>
        <w:t xml:space="preserve">LTP</w:t>
      </w:r>
    </w:p>
    <w:p>
      <w:pPr>
        <w:pStyle w:val="Compact"/>
      </w:pPr>
      <w:r>
        <w:t xml:space="preserve">N Lower Tail</w:t>
      </w:r>
    </w:p>
    <w:p>
      <w:pPr>
        <w:pStyle w:val="Compact"/>
      </w:pPr>
      <w:r>
        <w:t xml:space="preserve">N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14</w:t>
      </w:r>
      <w:r>
        <w:t xml:space="preserve"> </w:t>
      </w:r>
      <w:r>
        <w:t xml:space="preserve">shows the lower tail terms from topic 2 that are actually present in the text alongside those that are expected to be but are not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962399"/>
            <wp:effectExtent b="0" l="0" r="0" t="0"/>
            <wp:docPr descr="Figure 14 Terms from Mason and McCruden’s 2011 “Reading the Epistle to the Hebrews” that are expected to derive from topic 2. Interactive pop-out." title="" id="1" name="Picture"/>
            <a:graphic>
              <a:graphicData uri="http://schemas.openxmlformats.org/drawingml/2006/picture">
                <pic:pic>
                  <pic:nvPicPr>
                    <pic:cNvPr descr="03_files/figure-docx/worstterms-1.png" id="0" name="Picture"/>
                    <pic:cNvPicPr>
                      <a:picLocks noChangeArrowheads="1" noChangeAspect="1"/>
                    </pic:cNvPicPr>
                  </pic:nvPicPr>
                  <pic:blipFill>
                    <a:blip r:embed="rId85"/>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14 Terms from Mason and McCruden’s 2011</w:t>
      </w:r>
      <w:r>
        <w:t xml:space="preserve"> </w:t>
      </w:r>
      <w:r>
        <w:t xml:space="preserve">“</w:t>
      </w:r>
      <w:r>
        <w:t xml:space="preserve">Reading the Epistle to the Hebrews</w:t>
      </w:r>
      <w:r>
        <w:t xml:space="preserve">”</w:t>
      </w:r>
      <w:r>
        <w:t xml:space="preserve"> </w:t>
      </w:r>
      <w:r>
        <w:t xml:space="preserve">that are expected to derive from topic 2.</w:t>
      </w:r>
      <w:r>
        <w:t xml:space="preserve"> </w:t>
      </w:r>
      <w:hyperlink r:id="rId86">
        <w:r>
          <w:rPr>
            <w:i/>
            <w:rStyle w:val="Hyperlink"/>
          </w:rPr>
          <w:t xml:space="preserve">Interactive pop-out.</w:t>
        </w:r>
      </w:hyperlink>
    </w:p>
    <w:p>
      <w:pPr>
        <w:pStyle w:val="BodyText"/>
      </w:pPr>
      <w:r>
        <w:t xml:space="preserve">While I have already inspected the summary ranking of topics in terms of a few measures of goodness of fit, it is helpful to observe the within topic distributions of LTP, which will make the level of overlap among topics more clear. First I will inspect the primary topic classification, as it is common for researchers to reduce the document by topic probability matrix to the primary classification. Then I will look at each topic considering all LTPs at once, not just that of the primary topic.</w:t>
      </w:r>
    </w:p>
    <w:p>
      <w:pPr>
        <w:pStyle w:val="BodyText"/>
      </w:pPr>
      <w:r>
        <w:t xml:space="preserve">Figure</w:t>
      </w:r>
      <w:r>
        <w:t xml:space="preserve"> </w:t>
      </w:r>
      <w:r>
        <w:t xml:space="preserve">15</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962399"/>
            <wp:effectExtent b="0" l="0" r="0" t="0"/>
            <wp:docPr descr="Figure 15 Documents ranked by sum of lower tail probabilities by primary topic classification" title="" id="1" name="Picture"/>
            <a:graphic>
              <a:graphicData uri="http://schemas.openxmlformats.org/drawingml/2006/picture">
                <pic:pic>
                  <pic:nvPicPr>
                    <pic:cNvPr descr="03_files/figure-docx/worstall-1.png" id="0" name="Picture"/>
                    <pic:cNvPicPr>
                      <a:picLocks noChangeArrowheads="1" noChangeAspect="1"/>
                    </pic:cNvPicPr>
                  </pic:nvPicPr>
                  <pic:blipFill>
                    <a:blip r:embed="rId87"/>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15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16</w:t>
      </w:r>
      <w:r>
        <w:t xml:space="preserve"> </w:t>
      </w:r>
      <w:r>
        <w:t xml:space="preserve">shows the document distribution by topic of the LTPs. Rather than looking at only the primary topic, here I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I am concerned that the LTPs may be a source of classification bias. This empirical separation visible on the log scale is lower than the p = .05 standard that I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6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8"/>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16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17</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CaptionedFigure"/>
      </w:pPr>
      <w:r>
        <w:drawing>
          <wp:inline>
            <wp:extent cx="5334000" cy="3962399"/>
            <wp:effectExtent b="0" l="0" r="0" t="0"/>
            <wp:docPr descr="Figure 17 Cumulative distribution of within topic term probabilities." title="" id="1" name="Picture"/>
            <a:graphic>
              <a:graphicData uri="http://schemas.openxmlformats.org/drawingml/2006/picture">
                <pic:pic>
                  <pic:nvPicPr>
                    <pic:cNvPr descr="03_files/figure-docx/elbow1p-1.png" id="0" name="Picture"/>
                    <pic:cNvPicPr>
                      <a:picLocks noChangeArrowheads="1" noChangeAspect="1"/>
                    </pic:cNvPicPr>
                  </pic:nvPicPr>
                  <pic:blipFill>
                    <a:blip r:embed="rId89"/>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17 Cumulative distribution of within topic term probabilities.</w:t>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90" w:name="zero-threshhold"/>
      <w:r>
        <w:t xml:space="preserve">Zero threshhold</w:t>
      </w:r>
      <w:bookmarkEnd w:id="90"/>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18</w:t>
      </w:r>
      <w:r>
        <w:t xml:space="preserve"> </w:t>
      </w:r>
      <w:r>
        <w:t xml:space="preserve">plots the progression of modal separation of probabilities at growing levels of</w:t>
      </w:r>
      <w:r>
        <w:t xml:space="preserve"> </w:t>
      </w:r>
      <m:oMath>
        <m:r>
          <m:t>K</m:t>
        </m:r>
      </m:oMath>
      <w:r>
        <w:t xml:space="preserve">. The modes are most visible in the log-odds of the probability. When</w:t>
      </w:r>
      <w:r>
        <w:t xml:space="preserve"> </w:t>
      </w:r>
      <m:oMath>
        <m:r>
          <m:t>K</m:t>
        </m:r>
      </m:oMath>
      <w:r>
        <w:t xml:space="preserve"> </w:t>
      </w:r>
      <w:r>
        <w:t xml:space="preserve">is less than 5 the distribution has three modes. In the upper mode are nearly perfectly classified documents, which suggests counterintuitively that at low Ks it is actually easier for the model to perfectly separate some documents. This high mode is mirrored at</w:t>
      </w:r>
      <w:r>
        <w:t xml:space="preserve"> </w:t>
      </w:r>
      <m:oMath>
        <m:r>
          <m:t>K</m:t>
        </m:r>
      </m:oMath>
      <w:r>
        <w:t xml:space="preserve"> </w:t>
      </w:r>
      <w:r>
        <w:t xml:space="preserve">= 2 by a low mode of the same density, because for every document probability that is approximately one in one topic there must be a probability of approximately zero in the other topic. As</w:t>
      </w:r>
      <w:r>
        <w:t xml:space="preserve"> </w:t>
      </w:r>
      <m:oMath>
        <m:r>
          <m:t>K</m:t>
        </m:r>
      </m:oMath>
      <w:r>
        <w:t xml:space="preserve"> </w:t>
      </w:r>
      <w:r>
        <w:t xml:space="preserve">increases the imbalance grows as one implies</w:t>
      </w:r>
      <w:r>
        <w:t xml:space="preserve"> </w:t>
      </w:r>
      <m:oMath>
        <m:r>
          <m:t>K</m:t>
        </m:r>
      </m:oMath>
      <w:r>
        <w:t xml:space="preserve"> </w:t>
      </w:r>
      <w:r>
        <w:t xml:space="preserve">- 1 zeroes. But what is more stark is the vanishing of perfect classifications as</w:t>
      </w:r>
      <w:r>
        <w:t xml:space="preserve"> </w:t>
      </w:r>
      <m:oMath>
        <m:r>
          <m:t>K</m:t>
        </m:r>
      </m:oMath>
      <w:r>
        <w:t xml:space="preserve"> </w:t>
      </w:r>
      <w:r>
        <w:t xml:space="preserve">increases, to the extent that mode in the middle accounting for the bulk of the distribution is already below .5 even at</w:t>
      </w:r>
      <w:r>
        <w:t xml:space="preserve"> </w:t>
      </w:r>
      <m:oMath>
        <m:r>
          <m:t>K</m:t>
        </m:r>
      </m:oMath>
      <w:r>
        <w:t xml:space="preserve"> </w:t>
      </w:r>
      <w:r>
        <w:t xml:space="preserve">= 3. This implies that mixtures are indeed the normal outcome for document classification when the model allows it.</w:t>
      </w:r>
    </w:p>
    <w:p>
      <w:pPr>
        <w:pStyle w:val="CaptionedFigure"/>
      </w:pPr>
      <w:r>
        <w:drawing>
          <wp:inline>
            <wp:extent cx="4620126" cy="3696101"/>
            <wp:effectExtent b="0" l="0" r="0" t="0"/>
            <wp:docPr descr="Figure 18 As K increases so does separation among junk (lower mode), weak (central mode), and strong (upper mode) topic by document probabilities" title="" id="1" name="Picture"/>
            <a:graphic>
              <a:graphicData uri="http://schemas.openxmlformats.org/drawingml/2006/picture">
                <pic:pic>
                  <pic:nvPicPr>
                    <pic:cNvPr descr="03_files/figure-docx/logit-theta-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18 As K increases so does separation among junk (lower mode), weak (central mode), and strong (upper mode) topic by document probabilities</w:t>
      </w:r>
    </w:p>
    <w:p>
      <w:pPr>
        <w:pStyle w:val="BodyText"/>
      </w:pPr>
      <w:r>
        <w:t xml:space="preserve">Similarly, Figure</w:t>
      </w:r>
      <w:r>
        <w:t xml:space="preserve"> </w:t>
      </w:r>
      <w:r>
        <w:t xml:space="preserve">19</w:t>
      </w:r>
      <w:r>
        <w:t xml:space="preserve"> </w:t>
      </w:r>
      <w:r>
        <w:t xml:space="preserve">shows the topic probability distribution but for terms rather than documents. Here there is no neat separation of modes between zero predictions and substantive ones. At each</w:t>
      </w:r>
      <w:r>
        <w:t xml:space="preserve"> </w:t>
      </w:r>
      <m:oMath>
        <m:r>
          <m:t>K</m:t>
        </m:r>
      </m:oMath>
      <w:r>
        <w:t xml:space="preserve"> </w:t>
      </w:r>
      <w:r>
        <w:t xml:space="preserve">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w:t>
      </w:r>
      <w:r>
        <w:t xml:space="preserve"> </w:t>
      </w:r>
      <m:oMath>
        <m:r>
          <m:t>K</m:t>
        </m:r>
      </m:oMath>
      <w:r>
        <w:t xml:space="preserve"> </w:t>
      </w:r>
      <w:r>
        <w:t xml:space="preserve">= 2 and 47.7 percent at</w:t>
      </w:r>
      <w:r>
        <w:t xml:space="preserve"> </w:t>
      </w:r>
      <m:oMath>
        <m:r>
          <m:t>K</m:t>
        </m:r>
      </m:oMath>
      <w:r>
        <w:t xml:space="preserve"> </w:t>
      </w:r>
      <w:r>
        <w:t xml:space="preserve">= 10. Similar to the balancing of ones and zeroes above, this fattening left tail implies that as</w:t>
      </w:r>
      <w:r>
        <w:t xml:space="preserve"> </w:t>
      </w:r>
      <m:oMath>
        <m:r>
          <m:t>K</m:t>
        </m:r>
      </m:oMath>
      <w:r>
        <w:t xml:space="preserve"> </w:t>
      </w:r>
      <w:r>
        <w:t xml:space="preserve">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CaptionedFigure"/>
      </w:pPr>
      <w:r>
        <w:drawing>
          <wp:inline>
            <wp:extent cx="4620126" cy="3696101"/>
            <wp:effectExtent b="0" l="0" r="0" t="0"/>
            <wp:docPr descr="Figure 19 As K increases, curve flattens toward more higher and more lower term probabilities, logit scale." title="" id="1" name="Picture"/>
            <a:graphic>
              <a:graphicData uri="http://schemas.openxmlformats.org/drawingml/2006/picture">
                <pic:pic>
                  <pic:nvPicPr>
                    <pic:cNvPr descr="03_files/figure-docx/log10-betap-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19 As K increases, curve flattens toward more higher and more lower term probabilities, logit scale.</w:t>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20</w:t>
      </w:r>
      <w:r>
        <w:t xml:space="preserve"> </w:t>
      </w:r>
      <w:r>
        <w:t xml:space="preserve">shows the cumulative distribution of within topic document probabilities truncated at a threshold of 0.005298, the bottom of the trough between the middle and lower modes of the</w:t>
      </w:r>
      <w:r>
        <w:t xml:space="preserve"> </w:t>
      </w:r>
      <m:oMath>
        <m:r>
          <m:t>K</m:t>
        </m:r>
      </m:oMath>
      <w:r>
        <w:t xml:space="preserve"> </w:t>
      </w:r>
      <w:r>
        <w:t xml:space="preserve">=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CaptionedFigure"/>
      </w:pPr>
      <w:r>
        <w:drawing>
          <wp:inline>
            <wp:extent cx="5334000" cy="3962399"/>
            <wp:effectExtent b="0" l="0" r="0" t="0"/>
            <wp:docPr descr="Figure 20 Cumulative distribution of within topic document probabilities, truncated at junk threshhold. Dashed line is linear fit to endpoints." title="" id="1" name="Picture"/>
            <a:graphic>
              <a:graphicData uri="http://schemas.openxmlformats.org/drawingml/2006/picture">
                <pic:pic>
                  <pic:nvPicPr>
                    <pic:cNvPr descr="03_files/figure-docx/elbow2-1.png" id="0" name="Picture"/>
                    <pic:cNvPicPr>
                      <a:picLocks noChangeArrowheads="1" noChangeAspect="1"/>
                    </pic:cNvPicPr>
                  </pic:nvPicPr>
                  <pic:blipFill>
                    <a:blip r:embed="rId93"/>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20 Cumulative distribution of within topic document probabilities, truncated at junk threshhold. Dashed line is linear fit to endpoints.</w:t>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4" w:name="topic-graphs"/>
      <w:r>
        <w:t xml:space="preserve">Topic Graphs</w:t>
      </w:r>
      <w:bookmarkEnd w:id="94"/>
    </w:p>
    <w:p>
      <w:pPr>
        <w:pStyle w:val="FirstParagraph"/>
      </w:pPr>
      <w:r>
        <w:t xml:space="preserve">Where above I concentrated on individual terms and documents, here I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w:t>
      </w:r>
      <w:r>
        <w:t xml:space="preserve"> </w:t>
      </w:r>
      <m:oMath>
        <m:r>
          <m:t>K</m:t>
        </m:r>
      </m:oMath>
      <w:r>
        <w:t xml:space="preserve"> </w:t>
      </w:r>
      <w:r>
        <w:t xml:space="preserve">increases across models.</w:t>
      </w:r>
    </w:p>
    <w:p>
      <w:pPr>
        <w:pStyle w:val="Heading4"/>
      </w:pPr>
      <w:bookmarkStart w:id="95" w:name="concentration"/>
      <w:r>
        <w:t xml:space="preserve">Concentration</w:t>
      </w:r>
      <w:bookmarkEnd w:id="95"/>
    </w:p>
    <w:p>
      <w:pPr>
        <w:pStyle w:val="FirstParagraph"/>
      </w:pPr>
      <w:r>
        <w:t xml:space="preserve">Though it was possible to observe concentration during a consideration of junk vectors, now I will measure concentration directly. Figure</w:t>
      </w:r>
      <w:r>
        <w:t xml:space="preserve"> </w:t>
      </w:r>
      <w:r>
        <w:t xml:space="preserve">21</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21 Concentration of topic probabilities within A. documents and B. terms" title="" id="1" name="Picture"/>
            <a:graphic>
              <a:graphicData uri="http://schemas.openxmlformats.org/drawingml/2006/picture">
                <pic:pic>
                  <pic:nvPicPr>
                    <pic:cNvPr descr="03_files/figure-docx/doc-ginip-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I noticed above that some topics more than others can be well described by a relatively short list of important terms. Figure</w:t>
      </w:r>
      <w:r>
        <w:t xml:space="preserve"> </w:t>
      </w:r>
      <w:r>
        <w:t xml:space="preserve">22</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CaptionedFigure"/>
      </w:pPr>
      <w:r>
        <w:drawing>
          <wp:inline>
            <wp:extent cx="4620126" cy="3696101"/>
            <wp:effectExtent b="0" l="0" r="0" t="0"/>
            <wp:docPr descr="Figure 22 Topic concentrations (TC) within documents by TC within terms. Diamonds proportional to term frequency explained by each topic." title="" id="1" name="Picture"/>
            <a:graphic>
              <a:graphicData uri="http://schemas.openxmlformats.org/drawingml/2006/picture">
                <pic:pic>
                  <pic:nvPicPr>
                    <pic:cNvPr descr="03_files/figure-docx/top-gini-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Topic concentrations (TC) within documents by TC within terms. Diamonds proportional to term frequency explained by each topic.</w:t>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I collapse these two dimensions into one by normalizing and averaging each and assigning an overall concentration rank to each topic.</w:t>
      </w:r>
    </w:p>
    <w:p>
      <w:pPr>
        <w:pStyle w:val="Heading4"/>
      </w:pPr>
      <w:bookmarkStart w:id="98" w:name="blind-qcv"/>
      <w:r>
        <w:t xml:space="preserve">Blind QCV</w:t>
      </w:r>
      <w:bookmarkEnd w:id="98"/>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will not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CaptionedFigure"/>
      </w:pPr>
      <w:r>
        <w:drawing>
          <wp:inline>
            <wp:extent cx="4620126" cy="3696101"/>
            <wp:effectExtent b="0" l="0" r="0" t="0"/>
            <wp:docPr descr="Figure 23 Topic confusion network. Tied topics contained at least two errors in blind manual sorting test. Untied topics were perfectly separated. Colors represent a topic’s number of imperfect tests." title="" id="1" name="Picture"/>
            <a:graphic>
              <a:graphicData uri="http://schemas.openxmlformats.org/drawingml/2006/picture">
                <pic:pic>
                  <pic:nvPicPr>
                    <pic:cNvPr descr="03_files/figure-docx/man-con-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23 Topic confusion network. Tied topics contained at least two errors in blind manual sorting test. Untied topics were perfectly separated. Colors represent a topic’s number of imperfect tests.</w:t>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23</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100" w:name="topic-descent"/>
      <w:r>
        <w:t xml:space="preserve">Topic descent</w:t>
      </w:r>
      <w:bookmarkEnd w:id="100"/>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I use a pseudo hierarchical model in which I fit separate models at increasing levels of</w:t>
      </w:r>
      <w:r>
        <w:t xml:space="preserve"> </w:t>
      </w:r>
      <m:oMath>
        <m:r>
          <m:t>K</m:t>
        </m:r>
      </m:oMath>
      <w:r>
        <w:t xml:space="preserve">, and I then do postestimation to measure the document level overlap among topics between adjacent levels of</w:t>
      </w:r>
      <w:r>
        <w:t xml:space="preserve"> </w:t>
      </w:r>
      <m:oMath>
        <m:r>
          <m:t>K</m:t>
        </m:r>
      </m:oMath>
      <w:r>
        <w:t xml:space="preserve">. I refer to this as topic descent, and it shows how document classification evolves as</w:t>
      </w:r>
      <w:r>
        <w:t xml:space="preserve"> </w:t>
      </w:r>
      <m:oMath>
        <m:r>
          <m:t>K</m:t>
        </m:r>
      </m:oMath>
      <w:r>
        <w:t xml:space="preserve"> </w:t>
      </w:r>
      <w:r>
        <w:t xml:space="preserve">increases.</w:t>
      </w:r>
    </w:p>
    <w:p>
      <w:pPr>
        <w:pStyle w:val="BodyText"/>
      </w:pPr>
      <w:r>
        <w:t xml:space="preserve">Because a topic descent graph represents relationships only between</w:t>
      </w:r>
      <w:r>
        <w:t xml:space="preserve"> </w:t>
      </w:r>
      <m:oMath>
        <m:r>
          <m:t>K</m:t>
        </m:r>
      </m:oMath>
      <w:r>
        <w:t xml:space="preserve">-adjacent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I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w:t>
      </w:r>
      <w:r>
        <w:t xml:space="preserve"> </w:t>
      </w:r>
      <m:oMath>
        <m:r>
          <m:t>k</m:t>
        </m:r>
      </m:oMath>
      <w:r>
        <w:t xml:space="preserve"> </w:t>
      </w:r>
      <w:r>
        <w:t xml:space="preserve">and a topic from model</w:t>
      </w:r>
      <w:r>
        <w:t xml:space="preserve"> </w:t>
      </w:r>
      <m:oMath>
        <m:r>
          <m:t>k</m:t>
        </m:r>
      </m:oMath>
      <w:r>
        <w:t xml:space="preserve"> </w:t>
      </w:r>
      <w:r>
        <w:t xml:space="preserve">+ 1. For example, document one has a probability of .5 from topic 1 of model k = 2 and a probability of .9 from topic 1 of model</w:t>
      </w:r>
      <w:r>
        <w:t xml:space="preserve"> </w:t>
      </w:r>
      <m:oMath>
        <m:r>
          <m:t>k</m:t>
        </m:r>
      </m:oMath>
      <w:r>
        <w:t xml:space="preserve"> </w:t>
      </w:r>
      <w:r>
        <w:t xml:space="preserve">=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24</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I will refer to topics of the final</w:t>
      </w:r>
      <w:r>
        <w:t xml:space="preserve"> </w:t>
      </w:r>
      <m:oMath>
        <m:r>
          <m:t>K</m:t>
        </m:r>
      </m:oMath>
      <w:r>
        <w:t xml:space="preserve"> </w:t>
      </w:r>
      <w:r>
        <w:t xml:space="preserve">= 10 model by number only, like topic 8, but when referring to topics of ancestor models I will apply the model prefix, e.g. topic 4 from model k = 7 will be topic 7k4. By following the main blue flow between each level it is possible to see topic lineages that extend with continuity through several</w:t>
      </w:r>
      <w:r>
        <w:t xml:space="preserve"> </w:t>
      </w:r>
      <m:oMath>
        <m:r>
          <m:t>K</m:t>
        </m:r>
      </m:oMath>
      <w:r>
        <w:t xml:space="preserve"> </w:t>
      </w:r>
      <w:r>
        <w:t xml:space="preserve">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w:t>
      </w:r>
      <w:r>
        <w:t xml:space="preserve"> </w:t>
      </w:r>
      <m:oMath>
        <m:r>
          <m:t>K</m:t>
        </m:r>
      </m:oMath>
      <w:r>
        <w:t xml:space="preserve"> </w:t>
      </w:r>
      <w:r>
        <w:t xml:space="preserve">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w:t>
      </w:r>
      <w:r>
        <w:t xml:space="preserve"> </w:t>
      </w:r>
      <m:oMath>
        <m:r>
          <m:t>k</m:t>
        </m:r>
      </m:oMath>
      <w:r>
        <w:t xml:space="preserve"> </w:t>
      </w:r>
      <w:r>
        <w:t xml:space="preserve">=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p>
    <w:p>
      <w:pPr>
        <w:pStyle w:val="CaptionedFigure"/>
      </w:pPr>
      <w:r>
        <w:drawing>
          <wp:inline>
            <wp:extent cx="5334000" cy="3229319"/>
            <wp:effectExtent b="0" l="0" r="0" t="0"/>
            <wp:docPr descr="Figure 24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101"/>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24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25</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CaptionedFigure"/>
      </w:pPr>
      <w:r>
        <w:drawing>
          <wp:inline>
            <wp:extent cx="5334000" cy="3962399"/>
            <wp:effectExtent b="0" l="0" r="0" t="0"/>
            <wp:docPr descr="Figure 25 Top 40 term rank changes over topic 2 lineage. Blue are increasing, red decreasing, gray unchanged, and green solitary." title="" id="1" name="Picture"/>
            <a:graphic>
              <a:graphicData uri="http://schemas.openxmlformats.org/drawingml/2006/picture">
                <pic:pic>
                  <pic:nvPicPr>
                    <pic:cNvPr descr="03_files/figure-docx/lineage-1.png" id="0" name="Picture"/>
                    <pic:cNvPicPr>
                      <a:picLocks noChangeArrowheads="1" noChangeAspect="1"/>
                    </pic:cNvPicPr>
                  </pic:nvPicPr>
                  <pic:blipFill>
                    <a:blip r:embed="rId102"/>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25 Top 40 term rank changes over topic 2 lineage. Blue are increasing, red decreasing, gray unchanged, and green solitary.</w:t>
      </w:r>
    </w:p>
    <w:p>
      <w:pPr>
        <w:pStyle w:val="Heading3"/>
      </w:pPr>
      <w:bookmarkStart w:id="103" w:name="summary"/>
      <w:r>
        <w:t xml:space="preserve">Summary</w:t>
      </w:r>
      <w:bookmarkEnd w:id="103"/>
    </w:p>
    <w:p>
      <w:pPr>
        <w:pStyle w:val="FirstParagraph"/>
      </w:pPr>
      <w:r>
        <w:t xml:space="preserve">Above I explored ten different features of topics that may affect their substantive interpretation. I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gini</w:t>
      </w:r>
    </w:p>
    <w:p>
      <w:pPr>
        <w:pStyle w:val="Compact"/>
      </w:pPr>
      <w:r>
        <w:t xml:space="preserve">conf</w:t>
      </w:r>
    </w:p>
    <w:p>
      <w:pPr>
        <w:pStyle w:val="Compact"/>
      </w:pPr>
      <w:r>
        <w:t xml:space="preserve">ldp</w:t>
      </w:r>
    </w:p>
    <w:p>
      <w:pPr>
        <w:pStyle w:val="Compact"/>
      </w:pPr>
      <w:r>
        <w:t xml:space="preserve">Sum.</w:t>
      </w:r>
    </w:p>
    <w:p>
      <w:pPr>
        <w:pStyle w:val="Compact"/>
      </w:pPr>
      <w:r>
        <w:t xml:space="preserve">Mean</w:t>
      </w:r>
    </w:p>
    <w:p>
      <w:pPr>
        <w:pStyle w:val="Compact"/>
      </w:pPr>
      <w:r>
        <w:t xml:space="preserve">Var.</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4" w:name="topic-interpretation"/>
      <w:r>
        <w:t xml:space="preserve">Topic interpretation</w:t>
      </w:r>
      <w:bookmarkEnd w:id="104"/>
    </w:p>
    <w:p>
      <w:pPr>
        <w:pStyle w:val="FirstParagraph"/>
      </w:pPr>
      <w:r>
        <w:t xml:space="preserve">At long last and armored with a diagnostic assessment of the topics, it is appropriate to interpret the model content of topics. I have three exhibits to assist me in topic interpretation. First are journal topic associations. Second are notes taken above during blind QCV of bellwether texts, which usually amount to gut reactions to the front matter of articles. Finally I will inspect the topic by term lists directly. I will initialize each topic interpretation by inspecting journals and bellwethers, and then I will elaborate the content using the model lists, being sure to note instances of polysemy.</w:t>
      </w:r>
    </w:p>
    <w:p>
      <w:pPr>
        <w:pStyle w:val="Heading3"/>
      </w:pPr>
      <w:bookmarkStart w:id="105" w:name="journals"/>
      <w:r>
        <w:t xml:space="preserve">Journals</w:t>
      </w:r>
      <w:bookmarkEnd w:id="105"/>
    </w:p>
    <w:p>
      <w:pPr>
        <w:pStyle w:val="FirstParagraph"/>
      </w:pPr>
      <w:r>
        <w:t xml:space="preserve">A good place to begin is to ask whether I have done more than merely reproduce a categorical scheme to which I already had access. If topics are entirely predicted by journals, then they may not be very valuable as guides to scholarship, though confirming this would be an argument against the importance of interdisciplinarity. Figure</w:t>
      </w:r>
      <w:r>
        <w:t xml:space="preserve"> </w:t>
      </w:r>
      <w:r>
        <w:t xml:space="preserve">26</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962399"/>
            <wp:effectExtent b="0" l="0" r="0" t="0"/>
            <wp:docPr descr="Figure 26 Journal Topic Associations. Interactive pop-out." title="" id="1" name="Picture"/>
            <a:graphic>
              <a:graphicData uri="http://schemas.openxmlformats.org/drawingml/2006/picture">
                <pic:pic>
                  <pic:nvPicPr>
                    <pic:cNvPr descr="03_files/figure-docx/jourchi-1.png" id="0" name="Picture"/>
                    <pic:cNvPicPr>
                      <a:picLocks noChangeArrowheads="1" noChangeAspect="1"/>
                    </pic:cNvPicPr>
                  </pic:nvPicPr>
                  <pic:blipFill>
                    <a:blip r:embed="rId106"/>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26 Journal Topic Associations.</w:t>
      </w:r>
      <w:r>
        <w:t xml:space="preserve"> </w:t>
      </w:r>
      <w:hyperlink r:id="rId107">
        <w:r>
          <w:rPr>
            <w:i/>
            <w:rStyle w:val="Hyperlink"/>
          </w:rPr>
          <w:t xml:space="preserve">Interactive pop-out.</w:t>
        </w:r>
      </w:hyperlink>
    </w:p>
    <w:p>
      <w:pPr>
        <w:pStyle w:val="Heading3"/>
      </w:pPr>
      <w:bookmarkStart w:id="108" w:name="bellwether-texts"/>
      <w:r>
        <w:t xml:space="preserve">Bellwether texts</w:t>
      </w:r>
      <w:bookmarkEnd w:id="108"/>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I characterize each topic based on an inspection of the journals with which they are associated and the blind QCV notes.</w:t>
      </w:r>
    </w:p>
    <w:p>
      <w:pPr>
        <w:pStyle w:val="Heading3"/>
      </w:pPr>
      <w:bookmarkStart w:id="109" w:name="terms"/>
      <w:r>
        <w:t xml:space="preserve">Terms</w:t>
      </w:r>
      <w:bookmarkEnd w:id="109"/>
    </w:p>
    <w:p>
      <w:pPr>
        <w:pStyle w:val="FirstParagraph"/>
      </w:pPr>
      <w:r>
        <w:t xml:space="preserve">(ref:genr-mod-viz) Topic Term Explorer,</w:t>
      </w:r>
      <w:r>
        <w:t xml:space="preserve"> </w:t>
      </w:r>
      <m:oMath>
        <m:r>
          <m:t>K</m:t>
        </m:r>
      </m:oMath>
      <w:r>
        <w:t xml:space="preserve">=10.</w:t>
      </w:r>
      <w:r>
        <w:t xml:space="preserve"> </w:t>
      </w:r>
      <w:hyperlink r:id="rId110">
        <w:r>
          <w:rPr>
            <w:i/>
            <w:rStyle w:val="Hyperlink"/>
          </w:rPr>
          <w:t xml:space="preserve">Interactive pop-out.</w:t>
        </w:r>
      </w:hyperlink>
    </w:p>
    <w:p>
      <w:pPr>
        <w:pStyle w:val="CaptionedFigure"/>
      </w:pPr>
      <w:r>
        <w:drawing>
          <wp:inline>
            <wp:extent cx="5334000" cy="3419075"/>
            <wp:effectExtent b="0" l="0" r="0" t="0"/>
            <wp:docPr descr="Figure 27 (ref:genr-mod-viz)" title="" id="1" name="Picture"/>
            <a:graphic>
              <a:graphicData uri="http://schemas.openxmlformats.org/drawingml/2006/picture">
                <pic:pic>
                  <pic:nvPicPr>
                    <pic:cNvPr descr="img/genr-mod-viz.png" id="0" name="Picture"/>
                    <pic:cNvPicPr>
                      <a:picLocks noChangeArrowheads="1" noChangeAspect="1"/>
                    </pic:cNvPicPr>
                  </pic:nvPicPr>
                  <pic:blipFill>
                    <a:blip r:embed="rId111"/>
                    <a:stretch>
                      <a:fillRect/>
                    </a:stretch>
                  </pic:blipFill>
                  <pic:spPr bwMode="auto">
                    <a:xfrm>
                      <a:off x="0" y="0"/>
                      <a:ext cx="5334000" cy="3419075"/>
                    </a:xfrm>
                    <a:prstGeom prst="rect">
                      <a:avLst/>
                    </a:prstGeom>
                    <a:noFill/>
                    <a:ln w="9525">
                      <a:noFill/>
                      <a:headEnd/>
                      <a:tailEnd/>
                    </a:ln>
                  </pic:spPr>
                </pic:pic>
              </a:graphicData>
            </a:graphic>
          </wp:inline>
        </w:drawing>
      </w:r>
    </w:p>
    <w:p>
      <w:pPr>
        <w:pStyle w:val="ImageCaption"/>
      </w:pPr>
      <w:r>
        <w:t xml:space="preserve">Figure 27 (ref:genr-mod-viz)</w:t>
      </w:r>
    </w:p>
    <w:p>
      <w:pPr>
        <w:pStyle w:val="BodyText"/>
      </w:pPr>
      <w:r>
        <w:t xml:space="preserve">The topic by term matrix is unwieldy; Figure</w:t>
      </w:r>
      <w:r>
        <w:t xml:space="preserve"> </w:t>
      </w:r>
      <w:r>
        <w:t xml:space="preserve">27</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I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12" w:name="dossiers"/>
      <w:r>
        <w:t xml:space="preserve">Dossiers</w:t>
      </w:r>
      <w:bookmarkEnd w:id="112"/>
    </w:p>
    <w:p>
      <w:pPr>
        <w:pStyle w:val="FirstParagraph"/>
      </w:pPr>
      <w:r>
        <w:t xml:space="preserve">Below I assemble the several source of topic interpretation to create a dossier on each topic, and finally establish for each a theory of topic meaning. Recall that until this point I have been reticent to describe such theories for fear of the confirmation bias they will exert on close readings of texts. These biases are inevitable and the goal is to exert some control over their formation rather than to presume I may approach texts from an unbiased vantage point. Thus I expect that in the writing of dossiers I will at this stage solidify the confirmation bias that will inform the subsequent</w:t>
      </w:r>
      <w:r>
        <w:t xml:space="preserve"> </w:t>
      </w:r>
      <w:r>
        <w:t xml:space="preserve">“</w:t>
      </w:r>
      <w:r>
        <w:t xml:space="preserve">close, but</w:t>
      </w:r>
      <w:r>
        <w:t xml:space="preserve">”</w:t>
      </w:r>
      <w:r>
        <w:t xml:space="preserve"> </w:t>
      </w:r>
      <w:r>
        <w:t xml:space="preserve">readings of texts. I table the problem of seriation and proceed in numerical order to aid in later referencing. Each dossier was written by first completing the initial characterization from journals, then layering on bellwether considerations, and finally by inspecting topic term list. For concision I present all of the results for each topic in one paragraph.</w:t>
      </w:r>
    </w:p>
    <w:p>
      <w:pPr>
        <w:pStyle w:val="Heading4"/>
      </w:pPr>
      <w:bookmarkStart w:id="113" w:name="topic-1-students"/>
      <w:r>
        <w:t xml:space="preserve">Topic 1,</w:t>
      </w:r>
      <w:r>
        <w:t xml:space="preserve"> </w:t>
      </w:r>
      <w:r>
        <w:rPr>
          <w:i/>
        </w:rPr>
        <w:t xml:space="preserve">students</w:t>
      </w:r>
      <w:bookmarkEnd w:id="113"/>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4" w:name="topic-2-god"/>
      <w:r>
        <w:t xml:space="preserve">Topic 2,</w:t>
      </w:r>
      <w:r>
        <w:t xml:space="preserve"> </w:t>
      </w:r>
      <w:r>
        <w:rPr>
          <w:i/>
        </w:rPr>
        <w:t xml:space="preserve">god</w:t>
      </w:r>
      <w:bookmarkEnd w:id="114"/>
    </w:p>
    <w:p>
      <w:pPr>
        <w:pStyle w:val="FirstParagraph"/>
      </w:pPr>
      <w:r>
        <w:t xml:space="preserve">Topic 2, which above I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5" w:name="topic-3-chinese"/>
      <w:r>
        <w:t xml:space="preserve">Topic 3,</w:t>
      </w:r>
      <w:r>
        <w:t xml:space="preserve"> </w:t>
      </w:r>
      <w:r>
        <w:rPr>
          <w:i/>
        </w:rPr>
        <w:t xml:space="preserve">chinese</w:t>
      </w:r>
      <w:bookmarkEnd w:id="115"/>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6"/>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7" w:name="topic-4-fiction"/>
      <w:r>
        <w:t xml:space="preserve">Topic 4,</w:t>
      </w:r>
      <w:r>
        <w:t xml:space="preserve"> </w:t>
      </w:r>
      <w:r>
        <w:rPr>
          <w:i/>
        </w:rPr>
        <w:t xml:space="preserve">fiction</w:t>
      </w:r>
      <w:bookmarkEnd w:id="117"/>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8" w:name="topic-5-film"/>
      <w:r>
        <w:t xml:space="preserve">Topic 5,</w:t>
      </w:r>
      <w:r>
        <w:t xml:space="preserve"> </w:t>
      </w:r>
      <w:r>
        <w:rPr>
          <w:i/>
        </w:rPr>
        <w:t xml:space="preserve">film</w:t>
      </w:r>
      <w:bookmarkEnd w:id="118"/>
    </w:p>
    <w:p>
      <w:pPr>
        <w:pStyle w:val="FirstParagraph"/>
      </w:pPr>
      <w:r>
        <w:t xml:space="preserve">Topic 5 is very well represented among a variety of journals dedicated to film and cinema. I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9" w:name="topic-6-music"/>
      <w:r>
        <w:t xml:space="preserve">Topic 6,</w:t>
      </w:r>
      <w:r>
        <w:t xml:space="preserve"> </w:t>
      </w:r>
      <w:r>
        <w:rPr>
          <w:i/>
        </w:rPr>
        <w:t xml:space="preserve">music</w:t>
      </w:r>
      <w:bookmarkEnd w:id="119"/>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20" w:name="topic-7-women"/>
      <w:r>
        <w:t xml:space="preserve">Topic 7,</w:t>
      </w:r>
      <w:r>
        <w:t xml:space="preserve"> </w:t>
      </w:r>
      <w:r>
        <w:rPr>
          <w:i/>
        </w:rPr>
        <w:t xml:space="preserve">women</w:t>
      </w:r>
      <w:bookmarkEnd w:id="120"/>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21" w:name="topic-8-les"/>
      <w:r>
        <w:t xml:space="preserve">Topic 8,</w:t>
      </w:r>
      <w:r>
        <w:t xml:space="preserve"> </w:t>
      </w:r>
      <w:r>
        <w:rPr>
          <w:i/>
        </w:rPr>
        <w:t xml:space="preserve">les</w:t>
      </w:r>
      <w:bookmarkEnd w:id="121"/>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22" w:name="topic-9-genre"/>
      <w:r>
        <w:t xml:space="preserve">Topic 9,</w:t>
      </w:r>
      <w:r>
        <w:t xml:space="preserve"> </w:t>
      </w:r>
      <w:r>
        <w:rPr>
          <w:i/>
        </w:rPr>
        <w:t xml:space="preserve">genre</w:t>
      </w:r>
      <w:bookmarkEnd w:id="122"/>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23" w:name="topic-10-painting"/>
      <w:r>
        <w:t xml:space="preserve">Topic 10,</w:t>
      </w:r>
      <w:r>
        <w:t xml:space="preserve"> </w:t>
      </w:r>
      <w:r>
        <w:rPr>
          <w:i/>
        </w:rPr>
        <w:t xml:space="preserve">painting</w:t>
      </w:r>
      <w:bookmarkEnd w:id="123"/>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4" w:name="topic-clusters"/>
      <w:r>
        <w:t xml:space="preserve">Topic clusters</w:t>
      </w:r>
      <w:bookmarkEnd w:id="124"/>
    </w:p>
    <w:p>
      <w:pPr>
        <w:pStyle w:val="FirstParagraph"/>
      </w:pPr>
      <w:r>
        <w:t xml:space="preserve">Having posited a nominal theory of each topic by inspection of journals, bellwether texts, and the topic by term matrix, I have not yet established what documents are about. Because the topic model is a mixture model I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I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I use the maximum distance method, where the outer edges of two clusters define their distance, which helps to contain variations in cluster volume. Figure</w:t>
      </w:r>
      <w:r>
        <w:t xml:space="preserve"> </w:t>
      </w:r>
      <w:r>
        <w:t xml:space="preserve">28</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28 Heatmap by optimal leaf sorting of documents (rows) and topics (columns)" title="" id="1" name="Picture"/>
            <a:graphic>
              <a:graphicData uri="http://schemas.openxmlformats.org/drawingml/2006/picture">
                <pic:pic>
                  <pic:nvPicPr>
                    <pic:cNvPr descr="03_files/figure-docx/hotleaf-1.png" id="0" name="Picture"/>
                    <pic:cNvPicPr>
                      <a:picLocks noChangeArrowheads="1" noChangeAspect="1"/>
                    </pic:cNvPicPr>
                  </pic:nvPicPr>
                  <pic:blipFill>
                    <a:blip r:embed="rId125"/>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28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I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I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I will discuss how to use these clusters for stratified sampling.</w:t>
      </w:r>
    </w:p>
    <w:p>
      <w:pPr>
        <w:pStyle w:val="Heading2"/>
      </w:pPr>
      <w:bookmarkStart w:id="126" w:name="reading-strata"/>
      <w:r>
        <w:t xml:space="preserve">Reading strata</w:t>
      </w:r>
      <w:bookmarkEnd w:id="126"/>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28</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I have previously discussed. In my diagnostics I was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I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I have found a particular sort of bias due to underspecification of</w:t>
      </w:r>
      <w:r>
        <w:t xml:space="preserve"> </w:t>
      </w:r>
      <m:oMath>
        <m:r>
          <m:t>K</m:t>
        </m:r>
      </m:oMath>
      <w:r>
        <w:t xml:space="preserve">.</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I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 set apart from the other topics, merging with the main body only at a distant level.</w:t>
      </w:r>
    </w:p>
    <w:p>
      <w:pPr>
        <w:pStyle w:val="BodyText"/>
      </w:pPr>
      <w:r>
        <w:t xml:space="preserve">Figure</w:t>
      </w:r>
      <w:r>
        <w:t xml:space="preserve"> </w:t>
      </w:r>
      <w:r>
        <w:t xml:space="preserve">29</w:t>
      </w:r>
      <w:r>
        <w:t xml:space="preserve"> </w:t>
      </w:r>
      <w:r>
        <w:t xml:space="preserve">illustrates the use of these clusters as strata for a sampling approach to mastering a corpus defined by the term genre. Let a dashboard like this be a cartography of the corpus, and in more stylized projection each column would be a spoke coming out of a common center, the shape of the urchin mentioned above. In the figure each text is represented by a dot, and each cluster represented by a column of dots. Hidden are the bulk of texts; shown are only the top, bottom, and middle of a list sorted by decreasing topic concentration. This means that the higher the text on the y-axis the fewer topics compose it. It makes sense then that the spine clusters, identifiable by an integer index number along the x-axis, have more compressed distributions higher on the Gini scale. Of all spines cluster 6, the first column, is the most compressed meaning that the documents contained here are strongly classified in the music topic. The high (green), median (purple), and low (orange) samples for each distribution contain a random sample of ten texts drawn from top (median, bottom) twenty texts in each column. The other ten serve as alternates in case there is an access problem for any of the first ten. In this way I construct a stratified sample along two dimensions; every cluster is represented, and within every cluster are three subsamples allowing a comparison of how changes in topic concentration may vary with the meaning or interpretation of the generic topic content.</w:t>
      </w:r>
    </w:p>
    <w:p>
      <w:pPr>
        <w:pStyle w:val="BodyText"/>
      </w:pPr>
      <w:r>
        <w:t xml:space="preserve">This cartographic stratified sampling strategy still yields a large sample of 610 articles. Studying them would be a chore for an individual, though it is doable, but would be more manageable in a team setting. Though large, with some confidence in the model it serves to represent a literature that is ten times its size. It is worth reflecting on the problem of scale. If we liken a corpus to a terrain of appreciable size, it is obvious that a particular course through that terrain will cover only a very small fragment of it under reasonable assumptions about resource limitations, especially time. A corpus is a space only in a metaphorical sense; it is of course possible to take a random draw, as if one could teleport to locations on terrain without needing to cross the distances between them. I expect that this random travel would be confusing for the reader and the traveler, as it would lack the contexts that allow one to understand the relationships of a thing. By drawing texts into strata I establish a modeled metaphor of location and proximity that then allows one to chart a linear course just as one would on a map of a physical space.</w:t>
      </w:r>
    </w:p>
    <w:p>
      <w:pPr>
        <w:pStyle w:val="CaptionedFigure"/>
      </w:pPr>
      <w:r>
        <w:drawing>
          <wp:inline>
            <wp:extent cx="5334000" cy="3962399"/>
            <wp:effectExtent b="0" l="0" r="0" t="0"/>
            <wp:docPr descr="Figure 29 Reading Strata and Sampled Texts. Interactive pop-out." title="" id="1" name="Picture"/>
            <a:graphic>
              <a:graphicData uri="http://schemas.openxmlformats.org/drawingml/2006/picture">
                <pic:pic>
                  <pic:nvPicPr>
                    <pic:cNvPr descr="03_files/figure-docx/gen-samp-1.png" id="0" name="Picture"/>
                    <pic:cNvPicPr>
                      <a:picLocks noChangeArrowheads="1" noChangeAspect="1"/>
                    </pic:cNvPicPr>
                  </pic:nvPicPr>
                  <pic:blipFill>
                    <a:blip r:embed="rId127"/>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29 Reading Strata and Sampled Texts.</w:t>
      </w:r>
      <w:r>
        <w:t xml:space="preserve"> </w:t>
      </w:r>
      <w:hyperlink r:id="rId128">
        <w:r>
          <w:rPr>
            <w:i/>
            <w:rStyle w:val="Hyperlink"/>
          </w:rPr>
          <w:t xml:space="preserve">Interactive pop-out.</w:t>
        </w:r>
      </w:hyperlink>
    </w:p>
    <w:p>
      <w:pPr>
        <w:pStyle w:val="BodyText"/>
      </w:pPr>
      <w:r>
        <w:t xml:space="preserve">To limit the scope of the reading project to something approaching a single person’s resource budget, we may subsample according to variables of interest. Figure</w:t>
      </w:r>
      <w:r>
        <w:t xml:space="preserve"> </w:t>
      </w:r>
      <w:r>
        <w:t xml:space="preserve">30</w:t>
      </w:r>
      <w:r>
        <w:t xml:space="preserve"> </w:t>
      </w:r>
      <w:r>
        <w:t xml:space="preserve">shows a facet of the corpus weighted toward the social sciences by simply selecting texts from journals that contain the root</w:t>
      </w:r>
      <w:r>
        <w:t xml:space="preserve"> </w:t>
      </w:r>
      <w:r>
        <w:rPr>
          <w:rStyle w:val="VerbatimChar"/>
        </w:rPr>
        <w:t xml:space="preserve">soci</w:t>
      </w:r>
      <w:r>
        <w:t xml:space="preserve"> </w:t>
      </w:r>
      <w:r>
        <w:t xml:space="preserve">as in social, sociology, and society. This covers journals that signal a concern with social science, though journals reflecting learned or professional groups, like the journal</w:t>
      </w:r>
      <w:r>
        <w:t xml:space="preserve"> </w:t>
      </w:r>
      <w:r>
        <w:rPr>
          <w:i/>
        </w:rPr>
        <w:t xml:space="preserve">Proceedings of the Aristotelian Society</w:t>
      </w:r>
      <w:r>
        <w:t xml:space="preserve">, must then be filtered out manually. Using a regular expression</w:t>
      </w:r>
      <w:r>
        <w:t xml:space="preserve"> </w:t>
      </w:r>
      <w:r>
        <w:rPr>
          <w:rStyle w:val="VerbatimChar"/>
        </w:rPr>
        <w:t xml:space="preserve">Soci[a-z]*</w:t>
      </w:r>
      <w:r>
        <w:t xml:space="preserve"> </w:t>
      </w:r>
      <w:r>
        <w:t xml:space="preserve">to filter texts by their journals produces a sample size of 182 or only 2.87 percent of the original corpus. This reduction is done out of desperation and precisely along the same lines of disciplinary exclusion I have criticized, but at least it is done with full knowledge of the lacuna it leaves behind.</w:t>
      </w:r>
    </w:p>
    <w:p>
      <w:pPr>
        <w:pStyle w:val="BodyText"/>
      </w:pPr>
      <w:r>
        <w:t xml:space="preserve">A more effortful but responsible approach would be to double the size of this sample by matching each</w:t>
      </w:r>
      <w:r>
        <w:t xml:space="preserve"> </w:t>
      </w:r>
      <w:r>
        <w:t xml:space="preserve">“</w:t>
      </w:r>
      <w:r>
        <w:t xml:space="preserve">social</w:t>
      </w:r>
      <w:r>
        <w:t xml:space="preserve">”</w:t>
      </w:r>
      <w:r>
        <w:t xml:space="preserve"> </w:t>
      </w:r>
      <w:r>
        <w:t xml:space="preserve">text with a humanist text otherwise identical on topic classification or word composition. This matching could be approximately achieved using, for instance, propensity score matching methods or the nearest non-social neighbor in euclidean space. For worse and not better, I do not attempt either the most responsible 610 document study or the next most responsible 364 text study. I do not even attempt the irresponsible 182 text study. The initial investment of the present study has yielded only the technology necessary to create the maps with which the real expeditions may be planned.</w:t>
      </w:r>
    </w:p>
    <w:p>
      <w:pPr>
        <w:pStyle w:val="BodyText"/>
      </w:pPr>
      <w:r>
        <w:t xml:space="preserve">A note on the differences in format of Figures</w:t>
      </w:r>
      <w:r>
        <w:t xml:space="preserve"> </w:t>
      </w:r>
      <w:r>
        <w:t xml:space="preserve">29</w:t>
      </w:r>
      <w:r>
        <w:t xml:space="preserve"> </w:t>
      </w:r>
      <w:r>
        <w:t xml:space="preserve">and</w:t>
      </w:r>
      <w:r>
        <w:t xml:space="preserve"> </w:t>
      </w:r>
      <w:r>
        <w:t xml:space="preserve">30</w:t>
      </w:r>
      <w:r>
        <w:t xml:space="preserve">: the former is presented in a conventional scatter plot format allowing comparisons of distribution. The latter has a different purpose in mind. First it shows the distributions of the former in terms of box plots, colored gray for spines, with the subsampled texts on top as diamonds. This allows the original context to be retained. Second and more noticeably, the axes are rotated so that the clusters are plotted on the left axis and the concentrations on the bottom axis. The concentration axis is also reversed to move from high to low. This format is intended for seriation literally as a reading list. Reading from left to right and top to bottom, a cultural convention to be sure and one easily changed, provides the precise reading order of texts. The web version of the graphic also allows one to hover over texts to read identify them and read additional information, and it also allows one to click on the texts to open their JSTOR repository locations for direct access to the original documents. This format greatly improves reading efficiency and guarantees that one will not be easily lost. It is an automated syllabus of study and one that can be reproduced easily for a new adventure.</w:t>
      </w:r>
    </w:p>
    <w:p>
      <w:pPr>
        <w:pStyle w:val="CaptionedFigure"/>
      </w:pPr>
      <w:r>
        <w:drawing>
          <wp:inline>
            <wp:extent cx="5334000" cy="3962399"/>
            <wp:effectExtent b="0" l="0" r="0" t="0"/>
            <wp:docPr descr="Figure 30 Topic locations of sociology texts (n = 182) Interactive pop-out." title="" id="1" name="Picture"/>
            <a:graphic>
              <a:graphicData uri="http://schemas.openxmlformats.org/drawingml/2006/picture">
                <pic:pic>
                  <pic:nvPicPr>
                    <pic:cNvPr descr="03_files/figure-docx/sociology-1.png" id="0" name="Picture"/>
                    <pic:cNvPicPr>
                      <a:picLocks noChangeArrowheads="1" noChangeAspect="1"/>
                    </pic:cNvPicPr>
                  </pic:nvPicPr>
                  <pic:blipFill>
                    <a:blip r:embed="rId129"/>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30 Topic locations of sociology texts (n = 182)</w:t>
      </w:r>
      <w:r>
        <w:t xml:space="preserve"> </w:t>
      </w:r>
      <w:hyperlink r:id="rId130">
        <w:r>
          <w:rPr>
            <w:i/>
            <w:rStyle w:val="Hyperlink"/>
          </w:rPr>
          <w:t xml:space="preserve">Interactive pop-out.</w:t>
        </w:r>
      </w:hyperlink>
    </w:p>
    <w:p>
      <w:pPr>
        <w:pStyle w:val="Heading2"/>
      </w:pPr>
      <w:bookmarkStart w:id="131" w:name="results"/>
      <w:r>
        <w:t xml:space="preserve">Results</w:t>
      </w:r>
      <w:bookmarkEnd w:id="131"/>
    </w:p>
    <w:p>
      <w:pPr>
        <w:pStyle w:val="FirstParagraph"/>
      </w:pPr>
      <w:r>
        <w:t xml:space="preserve">The first point to discuss concerns the urchin. Above I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topic came to be most strongly associated with the component of it that had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The easiest way to test the expectation that perfectly classified documents are actually biased upward by idiosyncrasy is to look directly at how the words they contain are classified. For clarity I assign every term in a document to a single topic though it is technically a distribution across all topics. A method to quickly accomplish this and simplify the topic descriptions is to treat each document as a term by topic matrix, project the matrix as a bimodal network, and perform the Louvain community detection method described in Chapter 2. Within the resulting clusters, which will contain terms and topics, I sort items in decreasing order of their total probability, meaning the strongest topics and most frequent terms will be listed first. Given these lists, I can easily see whether the terms in a text assigned to a given topic are really reflective of my theory of that topic.</w:t>
      </w:r>
    </w:p>
    <w:p>
      <w:pPr>
        <w:pStyle w:val="BodyText"/>
      </w:pPr>
      <w:r>
        <w:t xml:space="preserve">Limiting ourselves to the social science subsample, let’s compare the most highly ranked music article, Henry’s 1988</w:t>
      </w:r>
      <w:r>
        <w:t xml:space="preserve"> </w:t>
      </w:r>
      <w:r>
        <w:t xml:space="preserve">“</w:t>
      </w:r>
      <w:r>
        <w:t xml:space="preserve">Social Structure and Music: Correlating Musical Genres and Social Categories in Bhojpuri-Speaking India</w:t>
      </w:r>
      <w:r>
        <w:t xml:space="preserve">”</w:t>
      </w:r>
      <w:r>
        <w:t xml:space="preserve"> </w:t>
      </w:r>
      <w:r>
        <w:t xml:space="preserve">(</w:t>
      </w:r>
      <w:hyperlink r:id="rId132">
        <w:r>
          <w:rPr>
            <w:rStyle w:val="Hyperlink"/>
          </w:rPr>
          <w:t xml:space="preserve">#6249</w:t>
        </w:r>
      </w:hyperlink>
      <w:r>
        <w:t xml:space="preserve">), which is estimated to be 79 percent about music, with the lower ranked Rowe’s 2013</w:t>
      </w:r>
      <w:r>
        <w:t xml:space="preserve"> </w:t>
      </w:r>
      <w:r>
        <w:t xml:space="preserve">“</w:t>
      </w:r>
      <w:r>
        <w:t xml:space="preserve">Vitamin S: Messages, Music and Video— an Analysis of the Sexual Content and Perceptions of Sexuality Communicated in Popular Jamaican Music Videos</w:t>
      </w:r>
      <w:r>
        <w:t xml:space="preserve">”</w:t>
      </w:r>
      <w:r>
        <w:t xml:space="preserve"> </w:t>
      </w:r>
      <w:r>
        <w:t xml:space="preserve">(</w:t>
      </w:r>
      <w:hyperlink r:id="rId133">
        <w:r>
          <w:rPr>
            <w:rStyle w:val="Hyperlink"/>
          </w:rPr>
          <w:t xml:space="preserve">#3623</w:t>
        </w:r>
      </w:hyperlink>
      <w:r>
        <w:t xml:space="preserve">), which is estimated to be 39 percent about music. Figure</w:t>
      </w:r>
      <w:r>
        <w:t xml:space="preserve"> </w:t>
      </w:r>
      <w:r>
        <w:t xml:space="preserve">31</w:t>
      </w:r>
      <w:r>
        <w:t xml:space="preserve"> </w:t>
      </w:r>
      <w:r>
        <w:t xml:space="preserve">plots some of the words from each of these texts. Shown are the words for which topic 6 was their highest probability. Note that several overlapping words are omitted for legibility, so this is illustrative of the content. Each of the words was inspected and judged to be relevant to music, maybe relevant, and not relevant. In the yes category are terms with a clear musical reference such as performance, cultural, popular, and entertainment. In the maybe category are words that are plausibly related to music but appear to refer to one or more suppressed topics. Religious and youth, for instance, belong to different domains even if they make sense in combination with music. In the no category are words that are either idiosyncratic to the text (like India and Jamaica) or are very general (like number and examples). Words at the same vertical location contribute equally to the total topic score for each text, and while the yes words have a higher mean probability there is also considerable overlap with the less relevant categories of terms.</w:t>
      </w:r>
    </w:p>
    <w:p>
      <w:pPr>
        <w:pStyle w:val="CaptionedFigure"/>
      </w:pPr>
      <w:r>
        <w:drawing>
          <wp:inline>
            <wp:extent cx="4620126" cy="4620126"/>
            <wp:effectExtent b="0" l="0" r="0" t="0"/>
            <wp:docPr descr="Figure 31 Terms estimated from music topic and present in text, by document probability and relevance to music. Document 6249 is 79 percent and document 39 percent about music. Some terms ommitted to prevent overlap." title="" id="1" name="Picture"/>
            <a:graphic>
              <a:graphicData uri="http://schemas.openxmlformats.org/drawingml/2006/picture">
                <pic:pic>
                  <pic:nvPicPr>
                    <pic:cNvPr descr="03_files/figure-docx/txt-com-1.png" id="0" name="Picture"/>
                    <pic:cNvPicPr>
                      <a:picLocks noChangeArrowheads="1" noChangeAspect="1"/>
                    </pic:cNvPicPr>
                  </pic:nvPicPr>
                  <pic:blipFill>
                    <a:blip r:embed="rId134"/>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31 Terms estimated from music topic and present in text, by document probability and relevance to music. Document 6249 is 79 percent and document 39 percent about music. Some terms ommitted to prevent overlap.</w:t>
      </w:r>
    </w:p>
    <w:p>
      <w:pPr>
        <w:pStyle w:val="BodyText"/>
      </w:pPr>
      <w:r>
        <w:t xml:space="preserve">I may now test the expectation that the bellwether texts, those with topic probabilities close to one, contain more classification errors than mixed texts with weaker classifications. Table</w:t>
      </w:r>
      <w:r>
        <w:t xml:space="preserve"> </w:t>
      </w:r>
      <w:r>
        <w:t xml:space="preserve">20</w:t>
      </w:r>
      <w:r>
        <w:t xml:space="preserve"> </w:t>
      </w:r>
      <w:r>
        <w:t xml:space="preserve">compares the sums of the probabilities for each text by the music relevance categories. The estimated topic proportion of text 6249 is double that of text 3623. The sum of probabilities of only the words that actually appear in each text is much lower than the estimate; almost three quarters of the estimate are ghost probabilities accruing from terms that are not actually present in the text. Broken out by relevance category, the true classification portion is slightly lower. In the case of 6249, of the original 79 percent topic score, 17 are undeniably relevant to music.</w:t>
      </w:r>
    </w:p>
    <w:p>
      <w:pPr>
        <w:pStyle w:val="BodyText"/>
      </w:pPr>
      <w:r>
        <w:t xml:space="preserve">If bellwether texts had a higher rate of classification errors than lower ranked texts then their percentage of false positives would be higher. This can be seen in the number in parentheses, which standardizes the left hand column to sum to 100. At least when comparing these two texts, there appears to be no difference in the false positive (no) rate, which for both is between 11 and 12 percent. To be sure would require manual coding of a large number of texts, which is beyond scope for the current project. Suffice to say that the issue of idiosyncrasy contaminating topic vectors is real and in these cases created a bias of about ten percent of the estimated topic probability when considering only terms present in the text. The proportions deriving from words not in the texts accounts for a much larger portion of the bias.</w:t>
      </w:r>
    </w:p>
    <w:p>
      <w:pPr>
        <w:pStyle w:val="Compact"/>
      </w:pPr>
      <w:r>
        <w:t xml:space="preserve">(#tab:txt-comt)</w:t>
      </w:r>
      <w:r>
        <w:t xml:space="preserve">Document percentage of music terms (percentage of music share) relevant to music.</w:t>
      </w:r>
    </w:p>
    <w:p>
      <w:pPr>
        <w:pStyle w:val="Compact"/>
      </w:pPr>
      <w:r>
        <w:t xml:space="preserve">6249</w:t>
      </w:r>
    </w:p>
    <w:p>
      <w:pPr>
        <w:pStyle w:val="Compact"/>
      </w:pPr>
      <w:r>
        <w:t xml:space="preserve">3623</w:t>
      </w:r>
    </w:p>
    <w:p>
      <w:pPr>
        <w:pStyle w:val="Compact"/>
      </w:pPr>
      <w:r>
        <w:t xml:space="preserve">yes</w:t>
      </w:r>
    </w:p>
    <w:p>
      <w:pPr>
        <w:pStyle w:val="Compact"/>
      </w:pPr>
      <w:r>
        <w:t xml:space="preserve">16.87</w:t>
      </w:r>
    </w:p>
    <w:p>
      <w:pPr>
        <w:pStyle w:val="Compact"/>
      </w:pPr>
      <w:r>
        <w:t xml:space="preserve">(77.35)</w:t>
      </w:r>
    </w:p>
    <w:p>
      <w:pPr>
        <w:pStyle w:val="Compact"/>
      </w:pPr>
      <w:r>
        <w:t xml:space="preserve">8.97</w:t>
      </w:r>
    </w:p>
    <w:p>
      <w:pPr>
        <w:pStyle w:val="Compact"/>
      </w:pPr>
      <w:r>
        <w:t xml:space="preserve">(78.07)</w:t>
      </w:r>
    </w:p>
    <w:p>
      <w:pPr>
        <w:pStyle w:val="Compact"/>
      </w:pPr>
      <w:r>
        <w:t xml:space="preserve">maybe</w:t>
      </w:r>
    </w:p>
    <w:p>
      <w:pPr>
        <w:pStyle w:val="Compact"/>
      </w:pPr>
      <w:r>
        <w:t xml:space="preserve">2.5</w:t>
      </w:r>
    </w:p>
    <w:p>
      <w:pPr>
        <w:pStyle w:val="Compact"/>
      </w:pPr>
      <w:r>
        <w:t xml:space="preserve">(11.46)</w:t>
      </w:r>
    </w:p>
    <w:p>
      <w:pPr>
        <w:pStyle w:val="Compact"/>
      </w:pPr>
      <w:r>
        <w:t xml:space="preserve">1.16</w:t>
      </w:r>
    </w:p>
    <w:p>
      <w:pPr>
        <w:pStyle w:val="Compact"/>
      </w:pPr>
      <w:r>
        <w:t xml:space="preserve">(10.1)</w:t>
      </w:r>
    </w:p>
    <w:p>
      <w:pPr>
        <w:pStyle w:val="Compact"/>
      </w:pPr>
      <w:r>
        <w:t xml:space="preserve">no</w:t>
      </w:r>
    </w:p>
    <w:p>
      <w:pPr>
        <w:pStyle w:val="Compact"/>
      </w:pPr>
      <w:r>
        <w:t xml:space="preserve">2.44</w:t>
      </w:r>
    </w:p>
    <w:p>
      <w:pPr>
        <w:pStyle w:val="Compact"/>
      </w:pPr>
      <w:r>
        <w:t xml:space="preserve">(11.19)</w:t>
      </w:r>
    </w:p>
    <w:p>
      <w:pPr>
        <w:pStyle w:val="Compact"/>
      </w:pPr>
      <w:r>
        <w:t xml:space="preserve">1.36</w:t>
      </w:r>
    </w:p>
    <w:p>
      <w:pPr>
        <w:pStyle w:val="Compact"/>
      </w:pPr>
      <w:r>
        <w:t xml:space="preserve">(11.84)</w:t>
      </w:r>
    </w:p>
    <w:p>
      <w:pPr>
        <w:pStyle w:val="Compact"/>
      </w:pPr>
      <w:r>
        <w:t xml:space="preserve">Total</w:t>
      </w:r>
    </w:p>
    <w:p>
      <w:pPr>
        <w:pStyle w:val="Compact"/>
      </w:pPr>
      <w:r>
        <w:t xml:space="preserve">21.81</w:t>
      </w:r>
    </w:p>
    <w:p>
      <w:pPr>
        <w:pStyle w:val="Compact"/>
      </w:pPr>
      <w:r>
        <w:t xml:space="preserve">(100)</w:t>
      </w:r>
    </w:p>
    <w:p>
      <w:pPr>
        <w:pStyle w:val="Compact"/>
      </w:pPr>
      <w:r>
        <w:t xml:space="preserve">11.49</w:t>
      </w:r>
    </w:p>
    <w:p>
      <w:pPr>
        <w:pStyle w:val="Compact"/>
      </w:pPr>
      <w:r>
        <w:t xml:space="preserve">(100.01)</w:t>
      </w:r>
    </w:p>
    <w:p>
      <w:pPr>
        <w:pStyle w:val="Compact"/>
      </w:pPr>
      <w:r>
        <w:t xml:space="preserve">Topic Proportion</w:t>
      </w:r>
    </w:p>
    <w:p>
      <w:pPr>
        <w:pStyle w:val="Compact"/>
      </w:pPr>
      <w:r>
        <w:t xml:space="preserve">79</w:t>
      </w:r>
    </w:p>
    <w:p>
      <w:pPr>
        <w:pStyle w:val="Compact"/>
      </w:pPr>
      <w:r>
        <w:t xml:space="preserve">39</w:t>
      </w:r>
    </w:p>
    <w:p>
      <w:pPr>
        <w:pStyle w:val="Compact"/>
      </w:pPr>
      <w:r>
        <w:t xml:space="preserve">Adjusted Topic Proportion</w:t>
      </w:r>
    </w:p>
    <w:p>
      <w:pPr>
        <w:pStyle w:val="Compact"/>
      </w:pPr>
      <w:r>
        <w:t xml:space="preserve">89</w:t>
      </w:r>
    </w:p>
    <w:p>
      <w:pPr>
        <w:pStyle w:val="Compact"/>
      </w:pPr>
      <w:r>
        <w:t xml:space="preserve">50</w:t>
      </w:r>
    </w:p>
    <w:p>
      <w:pPr>
        <w:pStyle w:val="BodyText"/>
      </w:pPr>
      <w:r>
        <w:t xml:space="preserve">Notwithstanding these prima facie quantitative findings, the content of the</w:t>
      </w:r>
      <w:r>
        <w:t xml:space="preserve"> </w:t>
      </w:r>
      <w:r>
        <w:t xml:space="preserve">“</w:t>
      </w:r>
      <w:r>
        <w:t xml:space="preserve">no</w:t>
      </w:r>
      <w:r>
        <w:t xml:space="preserve">”</w:t>
      </w:r>
      <w:r>
        <w:t xml:space="preserve"> </w:t>
      </w:r>
      <w:r>
        <w:t xml:space="preserve">list for each text are not entirely comparable. Text 6249 is about local markets for music in a state in India in the 1970s. The vocabulary relating to Indian culture, including references to Hinduism and Islam, found no home in another topic, even in topic 2 which is ostensibly about religion, and so wound up being categorized along with music. Text 3623 is about sexual imagery in Jamaican music videos. Save for the term</w:t>
      </w:r>
      <w:r>
        <w:t xml:space="preserve"> </w:t>
      </w:r>
      <w:r>
        <w:t xml:space="preserve">“</w:t>
      </w:r>
      <w:r>
        <w:t xml:space="preserve">Jamaica</w:t>
      </w:r>
      <w:r>
        <w:t xml:space="preserve">”</w:t>
      </w:r>
      <w:r>
        <w:t xml:space="preserve">, the no list contains terms that have general meanings. There is no obvious idiosyncratic content in its no list. The unique quality of this text was its concern with HIV and sexual behavior. Those medically relevant terms do not have a topic of their own, but in this case the idiosyncrasy was allocated to one this text’s other two topic assignments, either topic 5 (film) or topic 7 (women). If in each text I find both a generic and a unique story, then the topic model is not designed to help model the unique portion.</w:t>
      </w:r>
    </w:p>
    <w:p>
      <w:pPr>
        <w:pStyle w:val="Heading2"/>
      </w:pPr>
      <w:bookmarkStart w:id="135" w:name="discussion-1"/>
      <w:r>
        <w:t xml:space="preserve">Discussion</w:t>
      </w:r>
      <w:bookmarkEnd w:id="135"/>
    </w:p>
    <w:p>
      <w:pPr>
        <w:pStyle w:val="FirstParagraph"/>
      </w:pPr>
      <w:r>
        <w:t xml:space="preserve">I have constructed a cartography of a corpus, and especially of a subregion of particular interest in the social sciences. I have also run diagnostic tests on several dimensions of topic quality to help inform me of where the model is performing well and where it is more likely to be biased due to an underspecification of</w:t>
      </w:r>
      <w:r>
        <w:t xml:space="preserve"> </w:t>
      </w:r>
      <m:oMath>
        <m:r>
          <m:t>K</m:t>
        </m:r>
      </m:oMath>
      <w:r>
        <w:t xml:space="preserve">. I liken this work to a serious attempt to outfit myself for an expedition of uncharted territory where the risk of getting lost is very high. The diagnostic considerations above joined with the seriation method lead me to believe that topic 6,</w:t>
      </w:r>
      <w:r>
        <w:t xml:space="preserve"> </w:t>
      </w:r>
      <w:r>
        <w:rPr>
          <w:i/>
        </w:rPr>
        <w:t xml:space="preserve">music</w:t>
      </w:r>
      <w:r>
        <w:t xml:space="preserve">, is the best place to start reading the corpus. Now I will characterize the social science texts contained in clusters 6, the spine of music, and 6.1, texts in which music is mixed with one or more other topics.</w:t>
      </w:r>
    </w:p>
    <w:p>
      <w:pPr>
        <w:pStyle w:val="BodyText"/>
      </w:pPr>
      <w:r>
        <w:t xml:space="preserve">Within the social science subsample there are only two articles contained in the spine. The first is Henry’s</w:t>
      </w:r>
      <w:r>
        <w:t xml:space="preserve"> </w:t>
      </w:r>
      <w:r>
        <w:t xml:space="preserve">“</w:t>
      </w:r>
      <w:r>
        <w:t xml:space="preserve">Social Structure and Music</w:t>
      </w:r>
      <w:r>
        <w:t xml:space="preserve">”</w:t>
      </w:r>
      <w:r>
        <w:t xml:space="preserve"> </w:t>
      </w:r>
      <w:r>
        <w:t xml:space="preserve">already discussed, while the second is Lena and Peterson’s 2008</w:t>
      </w:r>
      <w:r>
        <w:t xml:space="preserve"> </w:t>
      </w:r>
      <w:r>
        <w:t xml:space="preserve">“</w:t>
      </w:r>
      <w:r>
        <w:t xml:space="preserve">Classification as Culture: Types and Trajectories of Music Genres</w:t>
      </w:r>
      <w:r>
        <w:t xml:space="preserve">”</w:t>
      </w:r>
      <w:r>
        <w:t xml:space="preserve">. Each is solidly in the field of sociology. They are both located below the median of the general sample, and indeed only four in five of their words is classified as music. The remaining fifth for both articles is drawn from topic 1,</w:t>
      </w:r>
      <w:r>
        <w:t xml:space="preserve"> </w:t>
      </w:r>
      <w:r>
        <w:rPr>
          <w:i/>
        </w:rPr>
        <w:t xml:space="preserve">students</w:t>
      </w:r>
      <w:r>
        <w:t xml:space="preserve">, which as mentioned above is primarily concerned with discourse. Though cluster 6 is the spine of music, there are articles that overlap and are of lower classification strength than some found in the mixed cluster. This suggests that a mixture of music with the discourse topic is worth more than mixtures with other topics because the most highly classified music articles are more likely to have their very slim mixture components, say under ten percent, derive from discourse than from other topics.</w:t>
      </w:r>
    </w:p>
    <w:p>
      <w:pPr>
        <w:pStyle w:val="BodyText"/>
      </w:pPr>
      <w:r>
        <w:t xml:space="preserve">Sociology texts are filled with terms related to social context, and this implies that either the music or the discourse topics absorb that disciplinary vocabulary. For instance, each of these article describes the economic relationships around music, so words like industry and occupation, not to mention generic terms like social itself, occur with some frequency. This may be a case of set logic; music is always a social activity but not all social activities are music. While it is then not inappropriate to classify, for instance, economic terms as relevant to music, it does suggest that their prominence would be reduced if there had been a topic dedicated to economic vocabularies, as I imagine that these have considerable overlap for instance with the film topic.</w:t>
      </w:r>
    </w:p>
    <w:p>
      <w:pPr>
        <w:pStyle w:val="BodyText"/>
      </w:pPr>
      <w:r>
        <w:t xml:space="preserve">The most concentrated article on the mixed cluster is Hesmondhalgh’s 1998</w:t>
      </w:r>
      <w:r>
        <w:t xml:space="preserve"> </w:t>
      </w:r>
      <w:r>
        <w:t xml:space="preserve">“</w:t>
      </w:r>
      <w:r>
        <w:t xml:space="preserve">The British Dance Music Industry: a Case Study of Independent Cultural Production</w:t>
      </w:r>
      <w:r>
        <w:t xml:space="preserve">”</w:t>
      </w:r>
      <w:r>
        <w:t xml:space="preserve">, also a sociology article. Its classification with music is as strong as those on the spine, but its mixture component derives from film and not discourse. The article is not however about film, but rather about the interaction between what Lena and Peterson</w:t>
      </w:r>
      <w:r>
        <w:t xml:space="preserve"> </w:t>
      </w:r>
      <w:r>
        <w:t xml:space="preserve">(</w:t>
      </w:r>
      <w:hyperlink w:anchor="ref-Lena2008Classification">
        <w:r>
          <w:rPr>
            <w:rStyle w:val="Hyperlink"/>
          </w:rPr>
          <w:t xml:space="preserve">2008</w:t>
        </w:r>
      </w:hyperlink>
      <w:r>
        <w:t xml:space="preserve">)</w:t>
      </w:r>
      <w:r>
        <w:t xml:space="preserve"> </w:t>
      </w:r>
      <w:r>
        <w:t xml:space="preserve">would call scene and industry. It should be noted that none of these sociology articles came from the same journal or the same decade, so their close proximity is not an artifact of editorial control.</w:t>
      </w:r>
    </w:p>
    <w:p>
      <w:pPr>
        <w:pStyle w:val="BodyText"/>
      </w:pPr>
      <w:r>
        <w:t xml:space="preserve">The second article in the mixture cluster, Tickner’s 2008</w:t>
      </w:r>
      <w:r>
        <w:t xml:space="preserve"> </w:t>
      </w:r>
      <w:r>
        <w:t xml:space="preserve">“</w:t>
      </w:r>
      <w:r>
        <w:t xml:space="preserve">aquí en El Ghetto: Hip-Hop in Colombia, Cuba, and Mexico</w:t>
      </w:r>
      <w:r>
        <w:t xml:space="preserve">”</w:t>
      </w:r>
      <w:r>
        <w:t xml:space="preserve">, is from the journal Latin American Politics and Society which is in the disciplines Area Studies and Latin American Studies. It is concerned with how hip-hop intersects with class and government in Latin America, and is decidedly more political and opinionated, which is not to say less rigorous, than the sociology cluster. It is also a case study of how a genre varies by national context, where the sociology articles were much more concerned with how genres vary across time and social group in the same broad national context. Its mixture component is from fiction, not because it ever discusses literature, but likely because the style of its writing is more similar to the humanities than to the social sciences. In this way the topics may serve as proxies for disciplines by picking out style signals that may actually be harder to notice when interpreting topic term lists.</w:t>
      </w:r>
    </w:p>
    <w:p>
      <w:pPr>
        <w:pStyle w:val="BodyText"/>
      </w:pPr>
      <w:r>
        <w:t xml:space="preserve">Each of these texts discusses genres entities in time and space. Of the two on the spine they balance an interest in the content of genres with their network of relationships in their contexts of performance and creation. Often the study is not about the genre qua genre so much as the conditions of the genre and the exogenous factors in its development. The last and more humanistic of the four take special interest in how the genre interpenetrates the identity and psychology of the genre performers who then wrestle with larger governmental powers who seek to exploit those identities. The sociological texts give more weight to audience as audience literally outweighs performance when considering social and economic connections. The humanist text is more willing to posit unobservable constructs that have a causal force for performers; the genre is almost a blueprint for the performers themselves. While the distinction between the cultural, social, and personal is often fuzzy, Tickner does grant some causal efficacy to the genre itself rather than it being a given set piece around which economic and social patterns emerge.</w:t>
      </w:r>
    </w:p>
    <w:p>
      <w:pPr>
        <w:pStyle w:val="BodyText"/>
      </w:pPr>
      <w:r>
        <w:t xml:space="preserve">In the interests of space I must let this serve as an example of how the seriation strategy affects one’s reading of a corpus. By collocating texts in a particular way the seriation imposes the pattern of comparisons that drives analytical work. Were I to move along the trajectory established my task would be to develop a theory of what genre means in its different contexts, the texts recently read serving as templates for testing a conception of genre against the next items in the list. The real methodological standard, and one that is hard to judge, is whether this strategy allows one to converge on a truer or better reading of the corpus than a strategy of a different sort. I must punt on this ambition for present purposes, albeit with a clearer plan of attack for the next iteration.</w:t>
      </w:r>
    </w:p>
    <w:p>
      <w:pPr>
        <w:pStyle w:val="Heading2"/>
      </w:pPr>
      <w:bookmarkStart w:id="136" w:name="island-of-california"/>
      <w:r>
        <w:t xml:space="preserve">Island of California</w:t>
      </w:r>
      <w:bookmarkEnd w:id="136"/>
    </w:p>
    <w:p>
      <w:pPr>
        <w:pStyle w:val="CaptionedFigure"/>
      </w:pPr>
      <w:r>
        <w:drawing>
          <wp:inline>
            <wp:extent cx="3810000" cy="2540000"/>
            <wp:effectExtent b="0" l="0" r="0" t="0"/>
            <wp:docPr descr="Figure 32 Island of California visible on map by Nicolas Sanson, 1650" title="" id="1" name="Picture"/>
            <a:graphic>
              <a:graphicData uri="http://schemas.openxmlformats.org/drawingml/2006/picture">
                <pic:pic>
                  <pic:nvPicPr>
                    <pic:cNvPr descr="img/Insel_Kalifornien_1650.jpg" id="0" name="Picture"/>
                    <pic:cNvPicPr>
                      <a:picLocks noChangeArrowheads="1" noChangeAspect="1"/>
                    </pic:cNvPicPr>
                  </pic:nvPicPr>
                  <pic:blipFill>
                    <a:blip r:embed="rId1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32 Island of California visible on map by Nicolas Sanson, 1650</w:t>
      </w:r>
    </w:p>
    <w:p>
      <w:pPr>
        <w:pStyle w:val="BodyText"/>
      </w:pPr>
      <w:r>
        <w:t xml:space="preserve">This study has been an atypical one for topic modeling, because in many ways fitting our model was the beginning rather than the end of our analysis. I accomplished two tasks. First was to theorize expectations about what model bias means in topic modeling. The study of bias is a cottage industry in traditional regression analyses and training in, for instance, generalized linear modeling always includes careful consideration of how bias is likely to change results and even when bias may be a desirable feature of a model. This role for bias is less appreciated in the topic modeling space, where though there are many attempts to get the model right there are seldom recommendations for salvaging the results of a model that we suspect to have gotten wrong. Rather than presume that we have arrived at, or that we can ever arrive at, a model that is perfectly estimated, I have argued that we should equip ourselves with instincts for noticing the kinds of bias likely to crop up in topic modeling. When new methods take the world by storm, it is usually not long before the skeptics remind us that our excitement may be premature</w:t>
      </w:r>
      <w:r>
        <w:t xml:space="preserve"> </w:t>
      </w:r>
      <w:r>
        <w:t xml:space="preserve">(see Wattenberg, Viégas, and Johnson</w:t>
      </w:r>
      <w:r>
        <w:t xml:space="preserve"> </w:t>
      </w:r>
      <w:hyperlink w:anchor="ref-Wattenberg2016How">
        <w:r>
          <w:rPr>
            <w:rStyle w:val="Hyperlink"/>
          </w:rPr>
          <w:t xml:space="preserve">2016</w:t>
        </w:r>
      </w:hyperlink>
      <w:r>
        <w:t xml:space="preserve"> </w:t>
      </w:r>
      <w:r>
        <w:t xml:space="preserve">for an exhibit about the pitfalls of the wildly popular t-SNE data visualization method)</w:t>
      </w:r>
      <w:r>
        <w:t xml:space="preserve">.</w:t>
      </w:r>
    </w:p>
    <w:p>
      <w:pPr>
        <w:pStyle w:val="BodyText"/>
      </w:pPr>
      <w:r>
        <w:t xml:space="preserve">Being able to admit a model’s failings should also highlight its strengths, but there is always an element of uncertainty. We are acutely afraid of studying an artifact as if it were real, of being fooled by a Cartesian devil. If the seriation strategy explored above is a course through a cartography of written culture, then our biggest concern is being stuck exploring the Island of California. This was a fictional island that mapmakers of the 17th century inferred existed off the west coast of North America. Their error was assuming that reports of a southerly waterway starting from the San Francisco Bay referred to the same body of water reported as a northerly waterway starting at the Baja Peninsula. Explorers interpreting the map against the land ahead of them faced the same irreconcilable dilemma confronting any model user confronting an anomaly: trust the data or trust the model. What I hope to have offered is guidance in developing an intuition specific to topic models for deciding which is the safer path.</w:t>
      </w:r>
    </w:p>
    <w:p>
      <w:pPr>
        <w:pStyle w:val="Heading1"/>
      </w:pPr>
      <w:bookmarkStart w:id="138" w:name="voc"/>
      <w:r>
        <w:t xml:space="preserve">Economy, Society, and Vocabulary: The Origins of U.S. Anthropology and Sociology, 1888-1922</w:t>
      </w:r>
      <w:bookmarkEnd w:id="138"/>
    </w:p>
    <w:p>
      <w:pPr>
        <w:pStyle w:val="FirstParagraph"/>
      </w:pPr>
      <w:r>
        <w:rPr>
          <w:i/>
        </w:rPr>
        <w:t xml:space="preserve">Brooks Ambrose and Lynne Zucker</w:t>
      </w:r>
    </w:p>
    <w:p>
      <w:pPr>
        <w:pStyle w:val="Heading4"/>
      </w:pPr>
      <w:bookmarkStart w:id="139" w:name="abstract-3"/>
      <w:r>
        <w:t xml:space="preserve">Abstract</w:t>
      </w:r>
      <w:bookmarkEnd w:id="139"/>
    </w:p>
    <w:p>
      <w:pPr>
        <w:pStyle w:val="FirstParagraph"/>
      </w:pPr>
      <w:r>
        <w:t xml:space="preserve">After the American Civil War, United States social science scholarship shifted its institutional basis from museums, learned societies, and government and military agencies to a more autonomous setting in the newly forming university system. Throughout this transition, journals served as a platform for the distribution of scholarly knowledge, giving coherence and continuity to a field otherwise very much in flux. This study lays out two levels of context for these developments. First at the national level we describe the broader societal shifts in politics and the economy that corresponded to an increase in public demand for knowledge, which in turn provided new resources to expand production in the social sciences. Second, at the level of social science discourse as represented by journal articles, we show how the attention of social scientists shifted in response to social problems. Using 35 years of full text data from the leading journals in anthroplogy and sociology, we use topic models to first classify and count fields of research and then to describe their waxing and waning in the lead up to World War I. In order to develop this novel</w:t>
      </w:r>
      <w:r>
        <w:t xml:space="preserve"> </w:t>
      </w:r>
      <w:r>
        <w:t xml:space="preserve">“</w:t>
      </w:r>
      <w:r>
        <w:t xml:space="preserve">census of knowledge</w:t>
      </w:r>
      <w:r>
        <w:t xml:space="preserve">”</w:t>
      </w:r>
      <w:r>
        <w:t xml:space="preserve">, we apply new approaches to determining the number of scholarly fields by leveraging variations in vocabularies as signals of social boundary formation within fields of cultural production.</w:t>
      </w:r>
    </w:p>
    <w:p>
      <w:pPr>
        <w:pStyle w:val="Heading4"/>
      </w:pPr>
      <w:bookmarkStart w:id="140" w:name="keywords-3"/>
      <w:r>
        <w:t xml:space="preserve">Keywords</w:t>
      </w:r>
      <w:bookmarkEnd w:id="140"/>
    </w:p>
    <w:p>
      <w:pPr>
        <w:pStyle w:val="FirstParagraph"/>
      </w:pPr>
      <w:r>
        <w:t xml:space="preserve">knowledge, organizational theory, fields of cultural production, institutionalization, history of social science, topic modeling</w:t>
      </w:r>
    </w:p>
    <w:p>
      <w:r>
        <w:pict>
          <v:rect style="width:0;height:1.5pt" o:hralign="center" o:hrstd="t" o:hr="t"/>
        </w:pict>
      </w:r>
    </w:p>
    <w:p>
      <w:pPr>
        <w:pStyle w:val="FirstParagraph"/>
      </w:pPr>
      <w:r>
        <w:t xml:space="preserve">What were the dominant ideas in the social sciences at their formation as professions in the postbellum United States? What was the course of their development over a generation of scholarship? In this study we answer these questions</w:t>
      </w:r>
      <w:r>
        <w:t xml:space="preserve"> </w:t>
      </w:r>
      <w:r>
        <w:t xml:space="preserve"> </w:t>
      </w:r>
      <w:r>
        <w:t xml:space="preserve">through a distant reading of the original journals of two disciplinary cases, anthropology and sociology. Though the goal is substantive, the methodological challenges of consuming a large quantity of text will feature prominently in the story that unfolds. Along the way, we will demonstrate the usefulness of the computational text analysis that is being explored in the humanities and how it can be combined with</w:t>
      </w:r>
      <w:r>
        <w:t xml:space="preserve"> </w:t>
      </w:r>
      <w:r>
        <w:t xml:space="preserve"> </w:t>
      </w:r>
      <w:r>
        <w:t xml:space="preserve">quantitative series of economic and demographic data to address two theoretical concerns of organizational and institutional theory, as well as cultural sociology: what are the preconditions that allow cultural industries to emerge and become lasting institutions; and, what scope of cultural change can such institutions sustain?</w:t>
      </w:r>
    </w:p>
    <w:p>
      <w:pPr>
        <w:pStyle w:val="BodyText"/>
      </w:pPr>
      <w:r>
        <w:t xml:space="preserve">U.S. higher education has been simultaneously a field of tamed tradition and wild innovation. While institutional theory has classically focused on predicting the stability of norms</w:t>
      </w:r>
      <w:r>
        <w:t xml:space="preserve"> </w:t>
      </w:r>
      <w:r>
        <w:t xml:space="preserve">(see especially DiMaggio and Powell</w:t>
      </w:r>
      <w:r>
        <w:t xml:space="preserve"> </w:t>
      </w:r>
      <w:hyperlink w:anchor="ref-DiMaggio1983Iron">
        <w:r>
          <w:rPr>
            <w:rStyle w:val="Hyperlink"/>
          </w:rPr>
          <w:t xml:space="preserve">1983</w:t>
        </w:r>
      </w:hyperlink>
      <w:r>
        <w:t xml:space="preserve">)</w:t>
      </w:r>
      <w:r>
        <w:t xml:space="preserve">, the more intriguing side of the theory focuses on the processes that cause change. These two sides of institutions are connected in surprising ways</w:t>
      </w:r>
      <w:r>
        <w:t xml:space="preserve"> </w:t>
      </w:r>
      <w:r>
        <w:t xml:space="preserve">(see Zucker</w:t>
      </w:r>
      <w:r>
        <w:t xml:space="preserve"> </w:t>
      </w:r>
      <w:hyperlink w:anchor="ref-Zucker2019Institutional">
        <w:r>
          <w:rPr>
            <w:rStyle w:val="Hyperlink"/>
          </w:rPr>
          <w:t xml:space="preserve">2019</w:t>
        </w:r>
      </w:hyperlink>
      <w:r>
        <w:t xml:space="preserve">)</w:t>
      </w:r>
      <w:r>
        <w:t xml:space="preserve">. Calcified institutional structures, where formal relationships are hierarchical and knowledge is heavily codified, are particularly susceptible to sudden redefinition, especially if the elements are interlinked so that one change can easily spread. Some institutions that experience such redefinitions are strengthened for it, while others may be hobbled and brought closer to their end.</w:t>
      </w:r>
    </w:p>
    <w:p>
      <w:pPr>
        <w:pStyle w:val="BodyText"/>
      </w:pPr>
      <w:r>
        <w:t xml:space="preserve">Scholarly institutions have an unusually high degree of adaptation to their own sources of cultural instability. Academic disciplines have excelled at gaining ground both in the longue durée (secular trend) and in histoire événementielle (momentous event). Where periods of social upheaval disrupted scholarly business as usual, scholarly fields reorganized on new footings. However the adaptability of scholarship as a whole did not entail the endurance of all of its parts. Coequal to theories of paradigm shift describing the endogenous reasons for scholarly decline</w:t>
      </w:r>
      <w:r>
        <w:t xml:space="preserve"> </w:t>
      </w:r>
      <w:r>
        <w:t xml:space="preserve">(Kuhn</w:t>
      </w:r>
      <w:r>
        <w:t xml:space="preserve"> </w:t>
      </w:r>
      <w:hyperlink w:anchor="ref-Kuhn1970Structure">
        <w:r>
          <w:rPr>
            <w:rStyle w:val="Hyperlink"/>
          </w:rPr>
          <w:t xml:space="preserve">1970</w:t>
        </w:r>
      </w:hyperlink>
      <w:r>
        <w:t xml:space="preserve">; Lodahl and Gordon</w:t>
      </w:r>
      <w:r>
        <w:t xml:space="preserve"> </w:t>
      </w:r>
      <w:hyperlink w:anchor="ref-Lodahl1972Structure">
        <w:r>
          <w:rPr>
            <w:rStyle w:val="Hyperlink"/>
          </w:rPr>
          <w:t xml:space="preserve">1972</w:t>
        </w:r>
      </w:hyperlink>
      <w:r>
        <w:t xml:space="preserve">; Rzhetsky et al.</w:t>
      </w:r>
      <w:r>
        <w:t xml:space="preserve"> </w:t>
      </w:r>
      <w:hyperlink w:anchor="ref-Rzhetsky2006Microparadigms">
        <w:r>
          <w:rPr>
            <w:rStyle w:val="Hyperlink"/>
          </w:rPr>
          <w:t xml:space="preserve">2006</w:t>
        </w:r>
      </w:hyperlink>
      <w:r>
        <w:t xml:space="preserve">)</w:t>
      </w:r>
      <w:r>
        <w:t xml:space="preserve">, we apply the population ecology and resource dependency perspectives to elucidate the embedding of scholarship in wider resource networks</w:t>
      </w:r>
      <w:r>
        <w:t xml:space="preserve"> </w:t>
      </w:r>
      <w:r>
        <w:t xml:space="preserve">(Morphew and Huisman</w:t>
      </w:r>
      <w:r>
        <w:t xml:space="preserve"> </w:t>
      </w:r>
      <w:hyperlink w:anchor="ref-Morphew2002Using">
        <w:r>
          <w:rPr>
            <w:rStyle w:val="Hyperlink"/>
          </w:rPr>
          <w:t xml:space="preserve">2002</w:t>
        </w:r>
      </w:hyperlink>
      <w:r>
        <w:t xml:space="preserve">; Tolbert</w:t>
      </w:r>
      <w:r>
        <w:t xml:space="preserve"> </w:t>
      </w:r>
      <w:hyperlink w:anchor="ref-Tolbert1985Institutional">
        <w:r>
          <w:rPr>
            <w:rStyle w:val="Hyperlink"/>
          </w:rPr>
          <w:t xml:space="preserve">1985</w:t>
        </w:r>
      </w:hyperlink>
      <w:r>
        <w:t xml:space="preserve">; Tolbert and Zucker</w:t>
      </w:r>
      <w:r>
        <w:t xml:space="preserve"> </w:t>
      </w:r>
      <w:hyperlink w:anchor="ref-Tolbert1983Institutional">
        <w:r>
          <w:rPr>
            <w:rStyle w:val="Hyperlink"/>
          </w:rPr>
          <w:t xml:space="preserve">1983</w:t>
        </w:r>
      </w:hyperlink>
      <w:r>
        <w:t xml:space="preserve">)</w:t>
      </w:r>
      <w:r>
        <w:t xml:space="preserve"> </w:t>
      </w:r>
      <w:r>
        <w:t xml:space="preserve">that are particularly vulnerable to exogenous shocks .</w:t>
      </w:r>
    </w:p>
    <w:p>
      <w:pPr>
        <w:pStyle w:val="BodyText"/>
      </w:pPr>
      <w:r>
        <w:t xml:space="preserve">These classic concerns about the social and economic structure of organizations have typically been explored empirically by counting the financial resources available to organizations as well as indicators of their internal growth and differentiation. To these resource-level measures we develop new data series that draw directly on the cultural activity of scholars, joining social inputs to cultural outputs that have evaded accurate counting due to the complexity of cultural data sources, in our case scholarly texts. While there has been tremendous growth in quantitative approaches to counting and classifying text for the purposes of longitudinal analyses of scholarship</w:t>
      </w:r>
      <w:r>
        <w:t xml:space="preserve"> </w:t>
      </w:r>
      <w:r>
        <w:t xml:space="preserve">(e.g. Hall, Jurafsky, and Manning</w:t>
      </w:r>
      <w:r>
        <w:t xml:space="preserve"> </w:t>
      </w:r>
      <w:hyperlink w:anchor="ref-Hall2008Studying">
        <w:r>
          <w:rPr>
            <w:rStyle w:val="Hyperlink"/>
          </w:rPr>
          <w:t xml:space="preserve">2008</w:t>
        </w:r>
      </w:hyperlink>
      <w:r>
        <w:t xml:space="preserve">; Roose, Roose, and Daenekindt</w:t>
      </w:r>
      <w:r>
        <w:t xml:space="preserve"> </w:t>
      </w:r>
      <w:hyperlink w:anchor="ref-Roose2018Trends">
        <w:r>
          <w:rPr>
            <w:rStyle w:val="Hyperlink"/>
          </w:rPr>
          <w:t xml:space="preserve">2018</w:t>
        </w:r>
      </w:hyperlink>
      <w:r>
        <w:t xml:space="preserve">)</w:t>
      </w:r>
      <w:r>
        <w:t xml:space="preserve">, these have rarely been conducted with careful consideration of historical and institutional context</w:t>
      </w:r>
      <w:r>
        <w:t xml:space="preserve"> </w:t>
      </w:r>
      <w:r>
        <w:t xml:space="preserve">(see for an exception DiMaggio et al.</w:t>
      </w:r>
      <w:r>
        <w:t xml:space="preserve"> </w:t>
      </w:r>
      <w:hyperlink w:anchor="ref-DiMaggio2013Exploiting">
        <w:r>
          <w:rPr>
            <w:rStyle w:val="Hyperlink"/>
          </w:rPr>
          <w:t xml:space="preserve">2013</w:t>
        </w:r>
      </w:hyperlink>
      <w:r>
        <w:t xml:space="preserve">)</w:t>
      </w:r>
      <w:r>
        <w:t xml:space="preserve">.</w:t>
      </w:r>
    </w:p>
    <w:p>
      <w:pPr>
        <w:pStyle w:val="BodyText"/>
      </w:pPr>
      <w:r>
        <w:t xml:space="preserve">We address the interplay between stability and change in two different ways. We begin by outlining key changes in the U.S. economy that we associate with concomitant developments in U.S. higher education. Such developments affected the quotidian activities of scholars by developing the resources and opportunities necessary for them to</w:t>
      </w:r>
      <w:r>
        <w:t xml:space="preserve"> </w:t>
      </w:r>
      <w:r>
        <w:t xml:space="preserve">“</w:t>
      </w:r>
      <w:r>
        <w:t xml:space="preserve">make culture</w:t>
      </w:r>
      <w:r>
        <w:t xml:space="preserve">”</w:t>
      </w:r>
      <w:r>
        <w:t xml:space="preserve"> </w:t>
      </w:r>
      <w:r>
        <w:t xml:space="preserve">in their organizational roles. Meanwhile, we periodize these micro-level trends by bracketing them between exogenous and often cataclysmic upheavals in U.S. society due to war and economic depression. Finally, we look at the actual</w:t>
      </w:r>
      <w:r>
        <w:t xml:space="preserve"> </w:t>
      </w:r>
      <w:r>
        <w:t xml:space="preserve">“</w:t>
      </w:r>
      <w:r>
        <w:t xml:space="preserve">culture made</w:t>
      </w:r>
      <w:r>
        <w:t xml:space="preserve">”</w:t>
      </w:r>
      <w:r>
        <w:t xml:space="preserve"> </w:t>
      </w:r>
      <w:r>
        <w:t xml:space="preserve">in an attempt to reveal the linkages between the day’s work, or the publication of articles, and the year’s news, or the social problems that both create a broader interest in social science and that disrupt the lives of social scientists as they did every person during periods of crisis.</w:t>
      </w:r>
    </w:p>
    <w:p>
      <w:pPr>
        <w:pStyle w:val="Heading2"/>
      </w:pPr>
      <w:bookmarkStart w:id="141" w:name="social-science-history-in-context"/>
      <w:r>
        <w:t xml:space="preserve"> </w:t>
      </w:r>
      <w:r>
        <w:t xml:space="preserve">Social science history in context</w:t>
      </w:r>
      <w:bookmarkEnd w:id="141"/>
    </w:p>
    <w:p>
      <w:pPr>
        <w:pStyle w:val="FirstParagraph"/>
      </w:pPr>
      <w:r>
        <w:t xml:space="preserve">Below we will attempt a distant reading of journals in the disciplines of sociology and anthropology. First, however, it will be helpful to put the development of these professions into some historical context. We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recruited to solve attendant problems of population and to provide rationales for the relationships with and understandings of conquered or would-be conquered people.</w:t>
      </w:r>
    </w:p>
    <w:p>
      <w:pPr>
        <w:pStyle w:val="BodyText"/>
      </w:pPr>
      <w:r>
        <w:t xml:space="preserve">In the interwar periods the leading structural changes tended to be economic. Where wars were ruptual moments that stalled development across many sectors of society, the attendant growth of military capacity also tended to lead to expansions of government, infrastructure, and even education via the training remaining with veterans. The tremendous strain on civilian life in terms of labor shortages during the Civil War thrust women into labor roles outside of the home, expanding the scope of their integration into the economy and public life even after returning to domestic roles as traditional family life was reconstituted. As the organizational form diffused, the old bases of trust in kinship networks were supplanted by mechanisms of communication and control oriented toward formal procedures rather than personal commitments</w:t>
      </w:r>
      <w:r>
        <w:t xml:space="preserve"> </w:t>
      </w:r>
      <w:r>
        <w:t xml:space="preserve">(Zucker</w:t>
      </w:r>
      <w:r>
        <w:t xml:space="preserve"> </w:t>
      </w:r>
      <w:hyperlink w:anchor="ref-Zucker1986Production">
        <w:r>
          <w:rPr>
            <w:rStyle w:val="Hyperlink"/>
          </w:rPr>
          <w:t xml:space="preserve">1986</w:t>
        </w:r>
      </w:hyperlink>
      <w:r>
        <w:t xml:space="preserve">)</w:t>
      </w:r>
      <w:r>
        <w:t xml:space="preserve">. This new kind of trust was based in the perceived fairness of rules, procedures, and contracts as well as in the new intermediary role of managers.</w:t>
      </w:r>
    </w:p>
    <w:p>
      <w:pPr>
        <w:pStyle w:val="BodyText"/>
      </w:pPr>
      <w:r>
        <w:t xml:space="preserve">Drawing on economic historians and institutional theory Zucker</w:t>
      </w:r>
      <w:r>
        <w:t xml:space="preserve"> </w:t>
      </w:r>
      <w:r>
        <w:t xml:space="preserve">(</w:t>
      </w:r>
      <w:hyperlink w:anchor="ref-Zucker1983Organizations">
        <w:r>
          <w:rPr>
            <w:rStyle w:val="Hyperlink"/>
          </w:rPr>
          <w:t xml:space="preserve">1983</w:t>
        </w:r>
      </w:hyperlink>
      <w:r>
        <w:t xml:space="preserve">)</w:t>
      </w:r>
      <w:r>
        <w:t xml:space="preserve"> </w:t>
      </w:r>
      <w:r>
        <w:t xml:space="preserve">has shown a secular trend in the late 1800s through the 1950s of a transition of American labor from self and often family-based employment to wage or salaried employment by a firm. This great transformation stirred a number of related elements that had been taken for granted. The population shifted from rural toward urban, primarily by leaving agriculture and taking up salaried employment. While before work was organized around individuals, it now became organized around corporate entities</w:t>
      </w:r>
      <w:r>
        <w:t xml:space="preserve"> </w:t>
      </w:r>
      <w:r>
        <w:t xml:space="preserve">(</w:t>
      </w:r>
      <w:hyperlink w:anchor="ref-Zucker1983Organizations">
        <w:r>
          <w:rPr>
            <w:rStyle w:val="Hyperlink"/>
          </w:rPr>
          <w:t xml:space="preserve">1983</w:t>
        </w:r>
      </w:hyperlink>
      <w:r>
        <w:t xml:space="preserve">:Figure 3)</w:t>
      </w:r>
      <w:r>
        <w:t xml:space="preserve">. This shift started during WWI, with wives going to work for munitions and aircraft factories in the cities. After the war ended, politicians expected a reverse flow back to the rural areas and waited 20 years to count this new urban population to determine representation in the U.S. House of Representatives. This reverse flow never happened.</w:t>
      </w:r>
    </w:p>
    <w:p>
      <w:pPr>
        <w:pStyle w:val="CaptionedFigure"/>
      </w:pPr>
      <w:r>
        <w:drawing>
          <wp:inline>
            <wp:extent cx="5334000" cy="3962399"/>
            <wp:effectExtent b="0" l="0" r="0" t="0"/>
            <wp:docPr descr="Figure 33 Shift from self-employment to wage-labor in United States. Source: Table 4, Zucker :15(1983:15). Illiteracy Source: Table 6, Snyder :21(1993:21)" title="" id="1" name="Picture"/>
            <a:graphic>
              <a:graphicData uri="http://schemas.openxmlformats.org/drawingml/2006/picture">
                <pic:pic>
                  <pic:nvPicPr>
                    <pic:cNvPr descr="04_files/figure-docx/zuck1-1.png" id="0" name="Picture"/>
                    <pic:cNvPicPr>
                      <a:picLocks noChangeArrowheads="1" noChangeAspect="1"/>
                    </pic:cNvPicPr>
                  </pic:nvPicPr>
                  <pic:blipFill>
                    <a:blip r:embed="rId142"/>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33 Shift from self-employment to wage-labor in United States. Source: Table 4, Zucker</w:t>
      </w:r>
      <w:r>
        <w:t xml:space="preserve"> </w:t>
      </w:r>
      <w:r>
        <w:t xml:space="preserve">(</w:t>
      </w:r>
      <w:hyperlink w:anchor="ref-Zucker1983Organizations">
        <w:r>
          <w:rPr>
            <w:rStyle w:val="Hyperlink"/>
          </w:rPr>
          <w:t xml:space="preserve">1983</w:t>
        </w:r>
      </w:hyperlink>
      <w:r>
        <w:t xml:space="preserve">:15)</w:t>
      </w:r>
      <w:r>
        <w:t xml:space="preserve">. Illiteracy Source: Table 6, Snyder</w:t>
      </w:r>
      <w:r>
        <w:t xml:space="preserve"> </w:t>
      </w:r>
      <w:r>
        <w:t xml:space="preserve">(</w:t>
      </w:r>
      <w:hyperlink w:anchor="ref-Snyder1993120">
        <w:r>
          <w:rPr>
            <w:rStyle w:val="Hyperlink"/>
          </w:rPr>
          <w:t xml:space="preserve">1993</w:t>
        </w:r>
      </w:hyperlink>
      <w:r>
        <w:t xml:space="preserve">:21)</w:t>
      </w:r>
    </w:p>
    <w:p>
      <w:pPr>
        <w:pStyle w:val="BodyText"/>
      </w:pPr>
      <w:r>
        <w:t xml:space="preserve">The development of procedural trust to organize production also heightened the penalty to illiteracy; whereas orientations to personal loyalty and family obligations were based in tradition and enduring social ties, procedural trust required learning new relationships quickly in novel on-the-job contexts. Contracts, manuals, bookkeeping, and even posters and signage on factory floors presumed what is now referred to as functional literacy but was then still an emerging feature of occupations. More quickly than in any other nation the literacy rate in the United States rose due to public investments in education, fueled by and fueling a growing demand for literate labor. Though data for earlier periods are unavailable, in aggregate personal consumer spending on private education grew from 416 million dollars in 1909 to 1,170 million dollars in 1929, staying strong during WWI only to enter a decline during the Great Depression. Consumer literate spending would recover during WWII giving seeming unlimited opportunity for cultural industries like publishing and education to turn the public’s ability to read into consumer demand and an engine for their own growth.</w:t>
      </w:r>
    </w:p>
    <w:p>
      <w:pPr>
        <w:pStyle w:val="CaptionedFigure"/>
      </w:pPr>
      <w:r>
        <w:drawing>
          <wp:inline>
            <wp:extent cx="5334000" cy="3962399"/>
            <wp:effectExtent b="0" l="0" r="0" t="0"/>
            <wp:docPr descr="Figure 34 Personal Consumption Current Dollar Expenditures on Literate Products (“G456 Books, maps, magazines, newspapers, sheet music”, “G457 Private education and research”, and “G492 Education (private)”). Source: US Census Bureau :316-319(1975:316–319)" title="" id="1" name="Picture"/>
            <a:graphic>
              <a:graphicData uri="http://schemas.openxmlformats.org/drawingml/2006/picture">
                <pic:pic>
                  <pic:nvPicPr>
                    <pic:cNvPr descr="04_files/figure-docx/per-con-1.png" id="0" name="Picture"/>
                    <pic:cNvPicPr>
                      <a:picLocks noChangeArrowheads="1" noChangeAspect="1"/>
                    </pic:cNvPicPr>
                  </pic:nvPicPr>
                  <pic:blipFill>
                    <a:blip r:embed="rId143"/>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34 Personal Consumption Current Dollar Expenditures on Literate Products (</w:t>
      </w:r>
      <w:r>
        <w:t xml:space="preserve">“</w:t>
      </w:r>
      <w:r>
        <w:t xml:space="preserve">G456 Books, maps, magazines, newspapers, sheet music</w:t>
      </w:r>
      <w:r>
        <w:t xml:space="preserve">”</w:t>
      </w:r>
      <w:r>
        <w:t xml:space="preserve">,</w:t>
      </w:r>
      <w:r>
        <w:t xml:space="preserve"> </w:t>
      </w:r>
      <w:r>
        <w:t xml:space="preserve">“</w:t>
      </w:r>
      <w:r>
        <w:t xml:space="preserve">G457 Private education and research</w:t>
      </w:r>
      <w:r>
        <w:t xml:space="preserve">”</w:t>
      </w:r>
      <w:r>
        <w:t xml:space="preserve">, and</w:t>
      </w:r>
      <w:r>
        <w:t xml:space="preserve"> </w:t>
      </w:r>
      <w:r>
        <w:t xml:space="preserve">“</w:t>
      </w:r>
      <w:r>
        <w:t xml:space="preserve">G492 Education (private)</w:t>
      </w:r>
      <w:r>
        <w:t xml:space="preserve">”</w:t>
      </w:r>
      <w:r>
        <w:t xml:space="preserve">). Source: US Census Bureau</w:t>
      </w:r>
      <w:r>
        <w:t xml:space="preserve"> </w:t>
      </w:r>
      <w:r>
        <w:t xml:space="preserve">(</w:t>
      </w:r>
      <w:hyperlink w:anchor="ref-Bureau1975Historical">
        <w:r>
          <w:rPr>
            <w:rStyle w:val="Hyperlink"/>
          </w:rPr>
          <w:t xml:space="preserve">1975</w:t>
        </w:r>
      </w:hyperlink>
      <w:r>
        <w:t xml:space="preserve">:316–319)</w:t>
      </w:r>
    </w:p>
    <w:p>
      <w:pPr>
        <w:pStyle w:val="BodyText"/>
      </w:pPr>
      <w:r>
        <w:t xml:space="preserve">Meanwhile on the supply side U.S. higher education was growing steadily. After the Civil War two federal laws called the Morrill Acts of 1862 and 1890 allowed states to sell land and raise funds for the building of colleges and universities. As institutions of higher education were founded, scholars who may have been located in other organizations like museums and learned societies were able to join much larger communities of peers. This was a precondition for graduate training, and it was primarily through graduate programs that the disciplines constituted themselves as professions. Graduate students and new Ph.D.s fueled the growth of the internal audience necessary for the establishment of new journals. Figure</w:t>
      </w:r>
      <w:r>
        <w:t xml:space="preserve"> </w:t>
      </w:r>
      <w:r>
        <w:t xml:space="preserve">35</w:t>
      </w:r>
      <w:r>
        <w:t xml:space="preserve"> </w:t>
      </w:r>
      <w:r>
        <w:t xml:space="preserve">makes apparent the different phases of investment in founding universities. From 1870 about ten new institutions were founded every year until net change stopped at about 1,000 in 1890. For the next 30 years the number of institutions stayed very stable, even declining slightly. At no other time in American history did an initial organizational investment remain so constant.</w:t>
      </w:r>
    </w:p>
    <w:p>
      <w:pPr>
        <w:pStyle w:val="CaptionedFigure"/>
      </w:pPr>
      <w:r>
        <w:drawing>
          <wp:inline>
            <wp:extent cx="5334000" cy="3962399"/>
            <wp:effectExtent b="0" l="0" r="0" t="0"/>
            <wp:docPr descr="Figure 35 Decennial change in the number of U.S. colleges and universities. Source: (NCES 2010)" title="" id="1" name="Picture"/>
            <a:graphic>
              <a:graphicData uri="http://schemas.openxmlformats.org/drawingml/2006/picture">
                <pic:pic>
                  <pic:nvPicPr>
                    <pic:cNvPr descr="04_files/figure-docx/t196-1.png" id="0" name="Picture"/>
                    <pic:cNvPicPr>
                      <a:picLocks noChangeArrowheads="1" noChangeAspect="1"/>
                    </pic:cNvPicPr>
                  </pic:nvPicPr>
                  <pic:blipFill>
                    <a:blip r:embed="rId144"/>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35 Decennial change in the number of U.S. colleges and universities. Source:</w:t>
      </w:r>
      <w:r>
        <w:t xml:space="preserve"> </w:t>
      </w:r>
      <w:r>
        <w:t xml:space="preserve">(NCES</w:t>
      </w:r>
      <w:r>
        <w:t xml:space="preserve"> </w:t>
      </w:r>
      <w:hyperlink w:anchor="ref-NCES2010Table">
        <w:r>
          <w:rPr>
            <w:rStyle w:val="Hyperlink"/>
          </w:rPr>
          <w:t xml:space="preserve">2010</w:t>
        </w:r>
      </w:hyperlink>
      <w:r>
        <w:t xml:space="preserve">)</w:t>
      </w:r>
    </w:p>
    <w:p>
      <w:pPr>
        <w:pStyle w:val="BodyText"/>
      </w:pPr>
      <w:r>
        <w:t xml:space="preserve">Figure</w:t>
      </w:r>
      <w:r>
        <w:t xml:space="preserve"> </w:t>
      </w:r>
      <w:r>
        <w:t xml:space="preserve">36</w:t>
      </w:r>
      <w:r>
        <w:t xml:space="preserve"> </w:t>
      </w:r>
      <w:r>
        <w:t xml:space="preserve">shows the aggregate number of doctorate degrees awarded by any university. While in absolute terms the Ph.D. output in the period before 1960 appears minimal compared to the explosive growth during the 1960s and 1970s, for its time it actually grew faster in percentage terms. By observing the logarithm of the count in the bottom panel it is clear that the system tended to grow by a constant multiple decade to decade. From 1870 to 1900 growth was as rapid as it ever was, an indication that the genesis of the university system was a special time of rapid expansion as a surplus of facilities was justified by the recruitment of personnel as was the intention behind the Morrill Acts. Once on this firm footing growth remained at very comparable rates until the present, save for two exogenous upward shifts of the curve. The second shift, as we have already mentioned, occurs between 1960 and 1970 when the baby boom generation begins to fill the ranks of academia. But a lesser known but equally profound earlier shift occurred for the WWI generation, after the Great War and before the beginning of the Great Depression. This interwar period was one of national investment in higher education that served the United States well for responding to the challenges posed by the Great Depression and eventually by WWII.</w:t>
      </w:r>
    </w:p>
    <w:p>
      <w:pPr>
        <w:pStyle w:val="CaptionedFigure"/>
      </w:pPr>
      <w:r>
        <w:drawing>
          <wp:inline>
            <wp:extent cx="4620126" cy="4620126"/>
            <wp:effectExtent b="0" l="0" r="0" t="0"/>
            <wp:docPr descr="Figure 36 Decennial growth in the number of Ph.D. degrees conferred in the U.S. Source: (NCES 2010)" title="" id="1" name="Picture"/>
            <a:graphic>
              <a:graphicData uri="http://schemas.openxmlformats.org/drawingml/2006/picture">
                <pic:pic>
                  <pic:nvPicPr>
                    <pic:cNvPr descr="04_files/figure-docx/nces2phd-1.png" id="0" name="Picture"/>
                    <pic:cNvPicPr>
                      <a:picLocks noChangeArrowheads="1" noChangeAspect="1"/>
                    </pic:cNvPicPr>
                  </pic:nvPicPr>
                  <pic:blipFill>
                    <a:blip r:embed="rId145"/>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36 Decennial growth in the number of Ph.D. degrees conferred in the U.S. Source:</w:t>
      </w:r>
      <w:r>
        <w:t xml:space="preserve"> </w:t>
      </w:r>
      <w:r>
        <w:t xml:space="preserve">(NCES</w:t>
      </w:r>
      <w:r>
        <w:t xml:space="preserve"> </w:t>
      </w:r>
      <w:hyperlink w:anchor="ref-NCES2010Table">
        <w:r>
          <w:rPr>
            <w:rStyle w:val="Hyperlink"/>
          </w:rPr>
          <w:t xml:space="preserve">2010</w:t>
        </w:r>
      </w:hyperlink>
      <w:r>
        <w:t xml:space="preserve">)</w:t>
      </w:r>
    </w:p>
    <w:p>
      <w:pPr>
        <w:pStyle w:val="BodyText"/>
      </w:pPr>
      <w:r>
        <w:t xml:space="preserve">The view from within academia can be described as a field of published research housed largely within the ecology of journals. Consistent with the rapid growth in Ph.D.s before the turn of the century, the number of new journals appearing every year more than doubled between 1880 and 1890, as evidenced by the journals included in the JSTOR archive (see Figure</w:t>
      </w:r>
      <w:r>
        <w:t xml:space="preserve"> </w:t>
      </w:r>
      <w:r>
        <w:t xml:space="preserve">37</w:t>
      </w:r>
      <w:r>
        <w:t xml:space="preserve">). This rapid period of growth was fueled by the wave of college and university foundings in the wake of the Civil War. The tempo of this surge, which we will call the sowing period, abated in the period starting in 1895 for unclear reasons. The most likely scenario is that the demand for publishing space created by the first generation of American Ph.D.s was met. Economically, the so called Panic of 1896 was an economic recession that may have chilled the financial prospects for journals though Americans had already been experiencing similar events almost every other year since the end of the American Civil War. The Spanish American War of 1898, while a major political event of the time, was not so large as to impact the daily lives of most Americans, though more than 100,000 men volunteered for military service in the week after the detonation of the USS Maine in Havana Harbor. The ability for an event to be disruptive is a function of foresight rather than hindsight, and it is possible that propaganda and yellow journalism exaggerating the threat caused panic enough to delay investments for a time.</w:t>
      </w:r>
    </w:p>
    <w:p>
      <w:pPr>
        <w:pStyle w:val="CaptionedFigure"/>
      </w:pPr>
      <w:r>
        <w:drawing>
          <wp:inline>
            <wp:extent cx="5334000" cy="3962399"/>
            <wp:effectExtent b="0" l="0" r="0" t="0"/>
            <wp:docPr descr="Figure 37 Birth and death rates for JSTOR journals, 5 year intervals. Dotted line is linear prediction of logarithm of N from 1885 to 1970." title="" id="1" name="Picture"/>
            <a:graphic>
              <a:graphicData uri="http://schemas.openxmlformats.org/drawingml/2006/picture">
                <pic:pic>
                  <pic:nvPicPr>
                    <pic:cNvPr descr="04_files/figure-docx/jbdp-1.png" id="0" name="Picture"/>
                    <pic:cNvPicPr>
                      <a:picLocks noChangeArrowheads="1" noChangeAspect="1"/>
                    </pic:cNvPicPr>
                  </pic:nvPicPr>
                  <pic:blipFill>
                    <a:blip r:embed="rId146"/>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37 Birth and death rates for JSTOR journals, 5 year intervals. Dotted line is linear prediction of logarithm of N from 1885 to 1970.</w:t>
      </w:r>
    </w:p>
    <w:p>
      <w:pPr>
        <w:pStyle w:val="BodyText"/>
      </w:pPr>
      <w:r>
        <w:t xml:space="preserve">Here as well the more granular data make apparent the effects of the World Wars. Though births stalled only moderately during WWI (1914-1918) an unprecedented number of journals came to an end. The end of the Great War also coincides with the Spanish Flu that was even more devastating in terms of loss of life. In the interwar period the trend in births recovers rapidly, until a stall at the beginning of the Great Depression followed again by a recovery. While depressions put financial strain on investment capital that also affects journals, the attendant rise in social problems also raises demand for creative solutions from scholarship. Thus during both the Long (1873-1879) and Great (1929-1939) depressions the rate of new journals actually accelerated by the end of the downturn. Some of this effect may have been due to journal starts being postponed rather than outright canceled. The consequences of WWII (1939-1945) are visible not in a die off of existing journals but in a precipitous fall in new journals. WWII was especially famous for draft and volunteer enlistment that cut across social classes. Thus scholars, who have always come disproportionately from the wealthy class, served as soldiers alongside poor and middle class Americans. The direct service of scholars, however, was not the only cause of disruption; in a profession where concentration counts, attention itself was siphoned off to following the war news.</w:t>
      </w:r>
    </w:p>
    <w:p>
      <w:pPr>
        <w:pStyle w:val="BodyText"/>
      </w:pPr>
      <w:r>
        <w:t xml:space="preserve">Immediately after WWII the journal field returned rapidly to business as usual, recouping all of its losses and returning to an exponential growth trajectory. Indeed if one inspects the logarithm of the count of births (not shown) the trend is very linear with no exogenous shifts as were visible in the Ph.D. series. In each of 85 years between 1885 and 1970 the rate of journal births grew by 1.157 percentage points on average, as illustrated by the dotted line in Figure</w:t>
      </w:r>
      <w:r>
        <w:t xml:space="preserve"> </w:t>
      </w:r>
      <w:r>
        <w:t xml:space="preserve">37</w:t>
      </w:r>
      <w:r>
        <w:t xml:space="preserve">.</w:t>
      </w:r>
      <w:r>
        <w:rPr>
          <w:rStyle w:val="FootnoteReference"/>
        </w:rPr>
        <w:footnoteReference w:id="147"/>
      </w:r>
      <w:r>
        <w:t xml:space="preserve"> </w:t>
      </w:r>
      <w:r>
        <w:t xml:space="preserve">The only substantial exceptions to the exponential growth occurred in the crest before the turn of the century and in the trough caused by WWII.</w:t>
      </w:r>
    </w:p>
    <w:p>
      <w:pPr>
        <w:pStyle w:val="Heading3"/>
      </w:pPr>
      <w:bookmarkStart w:id="148" w:name="the-social-sciences"/>
      <w:r>
        <w:t xml:space="preserve">The social sciences</w:t>
      </w:r>
      <w:bookmarkEnd w:id="148"/>
    </w:p>
    <w:p>
      <w:pPr>
        <w:pStyle w:val="FirstParagraph"/>
      </w:pPr>
      <w:r>
        <w:t xml:space="preserve">We will begin to hone in on the cases of anthropology and sociology by observing the social sciences in particular as represented by the JSTOR archive. Figure</w:t>
      </w:r>
      <w:r>
        <w:t xml:space="preserve"> </w:t>
      </w:r>
      <w:r>
        <w:t xml:space="preserve">38</w:t>
      </w:r>
      <w:r>
        <w:t xml:space="preserve"> </w:t>
      </w:r>
      <w:r>
        <w:t xml:space="preserve">shows the net growth of social science journals over a 200 year period. The curve is broken into periods of roughly similar slope. To choose the breakpoints we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first difference of the curve. We find turning points in the expected locations. 1885 marks the start of the sowing period and the end of the long prehistory of modern scholarship, while 1919 and 1944 mark the post war recoveries. Repeating the analysis on the second difference of the trend reveals that 1939, the end of the Great Depression and the beginning of WWII, marks a singular turning point where the acceleration of journal growth shifted into a higher gear.</w:t>
      </w:r>
    </w:p>
    <w:p>
      <w:pPr>
        <w:pStyle w:val="CaptionedFigure"/>
      </w:pPr>
      <w:r>
        <w:drawing>
          <wp:inline>
            <wp:extent cx="5334000" cy="3962399"/>
            <wp:effectExtent b="0" l="0" r="0" t="0"/>
            <wp:docPr descr="Figure 38 Periods in the Growth of the Number of Social Science Journals in the JSTOR Archive." title="" id="1" name="Picture"/>
            <a:graphic>
              <a:graphicData uri="http://schemas.openxmlformats.org/drawingml/2006/picture">
                <pic:pic>
                  <pic:nvPicPr>
                    <pic:cNvPr descr="04_files/figure-docx/jstorm2fig-1.png" id="0" name="Picture"/>
                    <pic:cNvPicPr>
                      <a:picLocks noChangeArrowheads="1" noChangeAspect="1"/>
                    </pic:cNvPicPr>
                  </pic:nvPicPr>
                  <pic:blipFill>
                    <a:blip r:embed="rId149"/>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38 Periods in the Growth of the Number of Social Science Journals in the JSTOR Archive.</w:t>
      </w:r>
    </w:p>
    <w:p>
      <w:pPr>
        <w:pStyle w:val="BodyText"/>
      </w:pPr>
      <w:r>
        <w:t xml:space="preserve">The ratio of new Ph.D.s to extant journals gives a good indication of the range of opportunities or the degree of competition facing individual scholars. While not strictly comparable, the aggregate number of Ph.D.s conferred divided by the number of social science journals gives a glimpse of the evolving opportunity structure in the social sciences. Figure @ref(fig:nces/jstorm) shows that this ratio remained very constant for the 50 years between 1870 and 1920 indicating that the field of professional opportunities grew about as quickly as the number of newcomers playing on it. This began to change as the upward shifts in Ph.D. output outpaced the growth of new journals. While the increase in the ratio may have been partially offset by technical improvements allowing journals to fit more scholars into the same issues, there is no mistaking the tectonic shift between 1960 and 1970 where the number of new Ph.D.s competing over each journal quadrupled from 42 to 166.</w:t>
      </w:r>
    </w:p>
    <w:p>
      <w:pPr>
        <w:pStyle w:val="CaptionedFigure"/>
      </w:pPr>
      <w:r>
        <w:drawing>
          <wp:inline>
            <wp:extent cx="5334000" cy="3962399"/>
            <wp:effectExtent b="0" l="0" r="0" t="0"/>
            <wp:docPr descr="Figure 39 Number of PhDs conferred in the United States per Social Science Journal" title="" id="1" name="Picture"/>
            <a:graphic>
              <a:graphicData uri="http://schemas.openxmlformats.org/drawingml/2006/picture">
                <pic:pic>
                  <pic:nvPicPr>
                    <pic:cNvPr descr="04_files/figure-docx/nces/jstorm-1.png" id="0" name="Picture"/>
                    <pic:cNvPicPr>
                      <a:picLocks noChangeArrowheads="1" noChangeAspect="1"/>
                    </pic:cNvPicPr>
                  </pic:nvPicPr>
                  <pic:blipFill>
                    <a:blip r:embed="rId150"/>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39 Number of PhDs conferred in the United States per Social Science Journal</w:t>
      </w:r>
    </w:p>
    <w:p>
      <w:pPr>
        <w:pStyle w:val="BodyText"/>
      </w:pPr>
      <w:r>
        <w:t xml:space="preserve">We take the relatively flat trend visible in the sowing period to represent one of stable growth and what Swidler</w:t>
      </w:r>
      <w:r>
        <w:t xml:space="preserve"> </w:t>
      </w:r>
      <w:r>
        <w:t xml:space="preserve">(</w:t>
      </w:r>
      <w:hyperlink w:anchor="ref-Swidler1986Culture">
        <w:r>
          <w:rPr>
            <w:rStyle w:val="Hyperlink"/>
          </w:rPr>
          <w:t xml:space="preserve">1986</w:t>
        </w:r>
      </w:hyperlink>
      <w:r>
        <w:t xml:space="preserve">)</w:t>
      </w:r>
      <w:r>
        <w:t xml:space="preserve"> </w:t>
      </w:r>
      <w:r>
        <w:t xml:space="preserve">has called settled lives. Between 1888 and 1922 there tended to be about eight new Ph.D.’s in the U.S. for every social science journal even as each population grew year over year. These growth patterns begin to diverge around 1919 as a decades long acceleration of personnel begins, relatively slowly between 1920 and 1960 at an average acceleration rate of 28 PhDs per journal per year, and then quite precipitously in the 1960s at an average acceleration rate of 147. This makes the period between the sowing years and the onset of WWI a good choice for studying the development of scholarly publication at a time where internal trends take precedence over external shocks, and to observe how these tendencies are ultimately affected by an historical crisis.</w:t>
      </w:r>
    </w:p>
    <w:p>
      <w:pPr>
        <w:pStyle w:val="BodyText"/>
      </w:pPr>
      <w:r>
        <w:t xml:space="preserve">Anthropology is a rare example of a discipline that has a long prehistory prior to the U.S. university system, whereas sociology’s birth very much coincided with the university as a new organizational context of the kind described by Zucker</w:t>
      </w:r>
      <w:r>
        <w:t xml:space="preserve"> </w:t>
      </w:r>
      <w:r>
        <w:t xml:space="preserve">(</w:t>
      </w:r>
      <w:hyperlink w:anchor="ref-Zucker1983Organizations">
        <w:r>
          <w:rPr>
            <w:rStyle w:val="Hyperlink"/>
          </w:rPr>
          <w:t xml:space="preserve">1983</w:t>
        </w:r>
      </w:hyperlink>
      <w:r>
        <w:t xml:space="preserve">)</w:t>
      </w:r>
      <w:r>
        <w:t xml:space="preserve">. Tables</w:t>
      </w:r>
      <w:r>
        <w:t xml:space="preserve"> </w:t>
      </w:r>
      <w:r>
        <w:t xml:space="preserve">21</w:t>
      </w:r>
      <w:r>
        <w:t xml:space="preserve"> </w:t>
      </w:r>
      <w:r>
        <w:t xml:space="preserve">and</w:t>
      </w:r>
      <w:r>
        <w:t xml:space="preserve"> </w:t>
      </w:r>
      <w:r>
        <w:t xml:space="preserve">22</w:t>
      </w:r>
      <w:r>
        <w:t xml:space="preserve"> </w:t>
      </w:r>
      <w:r>
        <w:t xml:space="preserve">show a classification of social science journals, given by the JSTOR archive, and their ranking in terms of size as it stands today. These disciplinary labels are more valid today than than they were in the 1880s at the start of the sowing period for scholarly journals, as it was not always obvious that these took priority over other fields whose names have receded from the scholarly imagination. The differentiation of business and economics away from the other disciplines had yet to occur.</w:t>
      </w:r>
    </w:p>
    <w:p>
      <w:pPr>
        <w:pStyle w:val="BodyText"/>
      </w:pPr>
      <w:r>
        <w:t xml:space="preserve">As can be seen in Figure</w:t>
      </w:r>
      <w:r>
        <w:t xml:space="preserve"> </w:t>
      </w:r>
      <w:r>
        <w:t xml:space="preserve">40</w:t>
      </w:r>
      <w:r>
        <w:t xml:space="preserve">, which plots the net journal counts over time, archaeology is the oldest discipline and has always had more journals. Of the more theoretical social sciences that appeared after 1880 the oldest to receive a second journal in the field, a marker of growth, was economics (1884), followed in order of emergence by education (1887), anthropology (1869), geography (1893), political science (1899), and sociology (1910). After WWI two clear trajectories emerge. On one hand, the bundle of larger disciplines grows steadily before receiving the baby boomer generation that super charged their growth after 1960. On the other hand, a handful of fields, among them the most recent with the exception of the older anthropology, continue on the older, slower acceleration curve. Two fields, sociology and business, cross from the slower to faster track at later points.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Archaeology</w:t>
      </w:r>
    </w:p>
    <w:p>
      <w:pPr>
        <w:pStyle w:val="Compact"/>
      </w:pPr>
      <w:r>
        <w:t xml:space="preserve">256</w:t>
      </w:r>
    </w:p>
    <w:p>
      <w:pPr>
        <w:pStyle w:val="Compact"/>
      </w:pPr>
      <w:r>
        <w:t xml:space="preserve">27.9</w:t>
      </w:r>
    </w:p>
    <w:p>
      <w:pPr>
        <w:pStyle w:val="Compact"/>
      </w:pPr>
      <w:r>
        <w:t xml:space="preserve">Political Science</w:t>
      </w:r>
    </w:p>
    <w:p>
      <w:pPr>
        <w:pStyle w:val="Compact"/>
      </w:pPr>
      <w:r>
        <w:t xml:space="preserve">219</w:t>
      </w:r>
    </w:p>
    <w:p>
      <w:pPr>
        <w:pStyle w:val="Compact"/>
      </w:pPr>
      <w:r>
        <w:t xml:space="preserve">23.9</w:t>
      </w:r>
    </w:p>
    <w:p>
      <w:pPr>
        <w:pStyle w:val="Compact"/>
      </w:pPr>
      <w:r>
        <w:t xml:space="preserve">Education</w:t>
      </w:r>
    </w:p>
    <w:p>
      <w:pPr>
        <w:pStyle w:val="Compact"/>
      </w:pPr>
      <w:r>
        <w:t xml:space="preserve">192</w:t>
      </w:r>
    </w:p>
    <w:p>
      <w:pPr>
        <w:pStyle w:val="Compact"/>
      </w:pPr>
      <w:r>
        <w:t xml:space="preserve">21</w:t>
      </w:r>
    </w:p>
    <w:p>
      <w:pPr>
        <w:pStyle w:val="Compact"/>
      </w:pPr>
      <w:r>
        <w:t xml:space="preserve">Sociology</w:t>
      </w:r>
    </w:p>
    <w:p>
      <w:pPr>
        <w:pStyle w:val="Compact"/>
      </w:pPr>
      <w:r>
        <w:t xml:space="preserve">160</w:t>
      </w:r>
    </w:p>
    <w:p>
      <w:pPr>
        <w:pStyle w:val="Compact"/>
      </w:pPr>
      <w:r>
        <w:t xml:space="preserve">17.5</w:t>
      </w:r>
    </w:p>
    <w:p>
      <w:pPr>
        <w:pStyle w:val="Compact"/>
      </w:pPr>
      <w:r>
        <w:t xml:space="preserve">Anthropology</w:t>
      </w:r>
    </w:p>
    <w:p>
      <w:pPr>
        <w:pStyle w:val="Compact"/>
      </w:pPr>
      <w:r>
        <w:t xml:space="preserve">46</w:t>
      </w:r>
    </w:p>
    <w:p>
      <w:pPr>
        <w:pStyle w:val="Compact"/>
      </w:pPr>
      <w:r>
        <w:t xml:space="preserve">5</w:t>
      </w:r>
    </w:p>
    <w:p>
      <w:pPr>
        <w:pStyle w:val="Compact"/>
      </w:pPr>
      <w:r>
        <w:t xml:space="preserve">Population Studies</w:t>
      </w:r>
    </w:p>
    <w:p>
      <w:pPr>
        <w:pStyle w:val="Compact"/>
      </w:pPr>
      <w:r>
        <w:t xml:space="preserve">22</w:t>
      </w:r>
    </w:p>
    <w:p>
      <w:pPr>
        <w:pStyle w:val="Compact"/>
      </w:pPr>
      <w:r>
        <w:t xml:space="preserve">2.4</w:t>
      </w:r>
    </w:p>
    <w:p>
      <w:pPr>
        <w:pStyle w:val="Compact"/>
      </w:pPr>
      <w:r>
        <w:t xml:space="preserve">Geography</w:t>
      </w:r>
    </w:p>
    <w:p>
      <w:pPr>
        <w:pStyle w:val="Compact"/>
      </w:pPr>
      <w:r>
        <w:t xml:space="preserve">18</w:t>
      </w:r>
    </w:p>
    <w:p>
      <w:pPr>
        <w:pStyle w:val="Compact"/>
      </w:pPr>
      <w:r>
        <w:t xml:space="preserve">2</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Total</w:t>
      </w:r>
    </w:p>
    <w:p>
      <w:pPr>
        <w:pStyle w:val="Compact"/>
      </w:pPr>
      <w:r>
        <w:t xml:space="preserve">916</w:t>
      </w:r>
    </w:p>
    <w:p>
      <w:pPr>
        <w:pStyle w:val="Compact"/>
      </w:pPr>
      <w:r>
        <w:t xml:space="preserve">100</w:t>
      </w:r>
    </w:p>
    <w:p>
      <w:pPr>
        <w:pStyle w:val="Compact"/>
      </w:pPr>
      <w:r>
        <w:t xml:space="preserve">(#tab:jclu-tab-sub-econ)</w:t>
      </w:r>
      <w:r>
        <w:t xml:space="preserve">JSTOR Business &amp; Economics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Economics</w:t>
      </w:r>
    </w:p>
    <w:p>
      <w:pPr>
        <w:pStyle w:val="Compact"/>
      </w:pPr>
      <w:r>
        <w:t xml:space="preserve">171</w:t>
      </w:r>
    </w:p>
    <w:p>
      <w:pPr>
        <w:pStyle w:val="Compact"/>
      </w:pPr>
      <w:r>
        <w:t xml:space="preserve">60</w:t>
      </w:r>
    </w:p>
    <w:p>
      <w:pPr>
        <w:pStyle w:val="Compact"/>
      </w:pPr>
      <w:r>
        <w:t xml:space="preserve">Business</w:t>
      </w:r>
    </w:p>
    <w:p>
      <w:pPr>
        <w:pStyle w:val="Compact"/>
      </w:pPr>
      <w:r>
        <w:t xml:space="preserve">83</w:t>
      </w:r>
    </w:p>
    <w:p>
      <w:pPr>
        <w:pStyle w:val="Compact"/>
      </w:pPr>
      <w:r>
        <w:t xml:space="preserve">29.1</w:t>
      </w:r>
    </w:p>
    <w:p>
      <w:pPr>
        <w:pStyle w:val="Compact"/>
      </w:pPr>
      <w:r>
        <w:t xml:space="preserve">Labor &amp; Employment Relations</w:t>
      </w:r>
    </w:p>
    <w:p>
      <w:pPr>
        <w:pStyle w:val="Compact"/>
      </w:pPr>
      <w:r>
        <w:t xml:space="preserve">31</w:t>
      </w:r>
    </w:p>
    <w:p>
      <w:pPr>
        <w:pStyle w:val="Compact"/>
      </w:pPr>
      <w:r>
        <w:t xml:space="preserve">10.9</w:t>
      </w:r>
    </w:p>
    <w:p>
      <w:pPr>
        <w:pStyle w:val="Compact"/>
      </w:pPr>
      <w:r>
        <w:t xml:space="preserve">Total</w:t>
      </w:r>
    </w:p>
    <w:p>
      <w:pPr>
        <w:pStyle w:val="Compact"/>
      </w:pPr>
      <w:r>
        <w:t xml:space="preserve">285</w:t>
      </w:r>
    </w:p>
    <w:p>
      <w:pPr>
        <w:pStyle w:val="Compact"/>
      </w:pPr>
      <w:r>
        <w:t xml:space="preserve">100</w:t>
      </w:r>
    </w:p>
    <w:p>
      <w:pPr>
        <w:pStyle w:val="CaptionedFigure"/>
      </w:pPr>
      <w:r>
        <w:drawing>
          <wp:inline>
            <wp:extent cx="5334000" cy="3962399"/>
            <wp:effectExtent b="0" l="0" r="0" t="0"/>
            <wp:docPr descr="Figure 40 JSTOR journal counts by subdisciplines in Social Sciences and Business and Economics" title="" id="1" name="Picture"/>
            <a:graphic>
              <a:graphicData uri="http://schemas.openxmlformats.org/drawingml/2006/picture">
                <pic:pic>
                  <pic:nvPicPr>
                    <pic:cNvPr descr="04_files/figure-docx/subdisc-1.png" id="0" name="Picture"/>
                    <pic:cNvPicPr>
                      <a:picLocks noChangeArrowheads="1" noChangeAspect="1"/>
                    </pic:cNvPicPr>
                  </pic:nvPicPr>
                  <pic:blipFill>
                    <a:blip r:embed="rId151"/>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40 JSTOR journal counts by subdisciplines in Social Sciences and Business and Economics</w:t>
      </w:r>
    </w:p>
    <w:p>
      <w:pPr>
        <w:pStyle w:val="BodyText"/>
      </w:pPr>
      <w:r>
        <w:t xml:space="preserve">Anthropology is thus revealed to be a discipline whose fate was very different than the rest. For most fields an early head start gave an advantage in size that was seldom surpassed by newcomers. Stranger still is that anthropology did not receive the same boost that others did during the Great Depression, where it was unique in experiencing a net decline, and after WWII where most disciplines succeeded in siphoning off at least some Cold War investments in science and technology. It seems that anthropology did not court the new National Science Foundation and its equivalents as vigorously as did sociology</w:t>
      </w:r>
      <w:r>
        <w:t xml:space="preserve"> </w:t>
      </w:r>
      <w:r>
        <w:t xml:space="preserve">(Abbott and Sparrow</w:t>
      </w:r>
      <w:r>
        <w:t xml:space="preserve"> </w:t>
      </w:r>
      <w:hyperlink w:anchor="ref-Abbott2007Hot">
        <w:r>
          <w:rPr>
            <w:rStyle w:val="Hyperlink"/>
          </w:rPr>
          <w:t xml:space="preserve">2007</w:t>
        </w:r>
      </w:hyperlink>
      <w:r>
        <w:t xml:space="preserve">)</w:t>
      </w:r>
      <w:r>
        <w:t xml:space="preserve">.</w:t>
      </w:r>
    </w:p>
    <w:p>
      <w:pPr>
        <w:pStyle w:val="BodyText"/>
      </w:pPr>
      <w:r>
        <w:t xml:space="preserve">Anthropology’s turning away from government investment was a reversal of its historical relationship with power. U.S. nation building after the American Revolution had enrolled researchers in the projects of westward expansion against native peoples, the consolidation of slave economies against Africans, and the legitimation of the American experiment against European detractors. These were pressing problems to the intellectuals among government leaders at different levels, and they worked to make investments in new knowledge to resolve them. Such new knowledge was initially an extension of older</w:t>
      </w:r>
      <w:r>
        <w:t xml:space="preserve"> </w:t>
      </w:r>
      <w:r>
        <w:t xml:space="preserve">“</w:t>
      </w:r>
      <w:r>
        <w:t xml:space="preserve">theories of man</w:t>
      </w:r>
      <w:r>
        <w:t xml:space="preserve">”</w:t>
      </w:r>
      <w:r>
        <w:t xml:space="preserve"> </w:t>
      </w:r>
      <w:r>
        <w:t xml:space="preserve">in theology and enlightenment natural philosophy. These had a foothold in the private education of the American so-called natural aristocracy as well as in urban colonial institutions like the American Philosophical Society, which served as meeting places for intellectual elites and scholars. After the British burned the Library of Congress in 1814 Thomas Jefferson famously sold his personal library to Congress to restore it, an illustration that secular arts and sciences were produced and maintained by and under the patronage of private elites.</w:t>
      </w:r>
    </w:p>
    <w:p>
      <w:pPr>
        <w:pStyle w:val="BodyText"/>
      </w:pPr>
      <w:r>
        <w:t xml:space="preserve">In the antebellum United States anthropology, the study of man, was synonymous with what was also called ethnology, the study of the races of man. Analogously to how interwoven economics became with the federal government during the Great Depression, prior to the Civil War ethnology was bankrolled by elites who were themselves implicated in the projects of nation building, which at this time meant westward expansion and the domination of indigenous peoples. Jefferson paid prizes to amateur ethnologists to collect lists of words from the languages of the eastern tribes in an attempt to recognize their potential to be civilized, taking what was then the radical position that native people could be eventually integrated into American society. Inspired by Jefferson’s thinking, for a brief time in the 1840s the Virginia legislature used tax incentives and educational programs to promote intermarriage between male settlers and native women with the goal of their assimilation</w:t>
      </w:r>
      <w:r>
        <w:t xml:space="preserve"> </w:t>
      </w:r>
      <w:r>
        <w:t xml:space="preserve">(Patterson</w:t>
      </w:r>
      <w:r>
        <w:t xml:space="preserve"> </w:t>
      </w:r>
      <w:hyperlink w:anchor="ref-Patterson2001Social">
        <w:r>
          <w:rPr>
            <w:rStyle w:val="Hyperlink"/>
          </w:rPr>
          <w:t xml:space="preserve">2001</w:t>
        </w:r>
      </w:hyperlink>
      <w:r>
        <w:t xml:space="preserve">:9)</w:t>
      </w:r>
      <w:r>
        <w:t xml:space="preserve">. This policy experiment, avowedly racist by today’s standards, was considered by colleagues of Jefferson to be a civilized alternative to war with native people, and it illustrates a kind of intellectual product that was in demand by the polity.</w:t>
      </w:r>
    </w:p>
    <w:p>
      <w:pPr>
        <w:pStyle w:val="BodyText"/>
      </w:pPr>
      <w:r>
        <w:t xml:space="preserve">The professionalization of scholarship attending the origins of the university system put an end to these patronage relationships while at the same time government attention shifted from problems of pacifying native peoples to those of managing an industrializing and globalizing society. Figure</w:t>
      </w:r>
      <w:r>
        <w:t xml:space="preserve"> </w:t>
      </w:r>
      <w:r>
        <w:t xml:space="preserve">41</w:t>
      </w:r>
      <w:r>
        <w:t xml:space="preserve"> </w:t>
      </w:r>
      <w:r>
        <w:t xml:space="preserve">shows that prior to the sowing period anthropology and ethnology, as terms appearing in published books, were joined in an almost identical trend, but that at the onset of the university system the trends diverged favoring anthropology. Meanwhile, sociology rose from relative obscurity to overtake anthropology as if riding the wave of university founding. It is possible that in the new organizational environment of the university the younger generations were empowered to sweep away some of the work of earlier generations. Sociology, wedded more forcefully to a scientific epistemology, carried the aura of a modern discipline oriented to the problems of a modern society, while anthropology was treated as mired in the problems of a dwindling age. Anthropology may very well have attempted to redefine itself precisely by shedding the terminology of ethnology in order to improve its footing on the new institutional terrain.</w:t>
      </w:r>
    </w:p>
    <w:p>
      <w:pPr>
        <w:pStyle w:val="CaptionedFigure"/>
      </w:pPr>
      <w:r>
        <w:drawing>
          <wp:inline>
            <wp:extent cx="4620126" cy="3696101"/>
            <wp:effectExtent b="0" l="0" r="0" t="0"/>
            <wp:docPr descr="Figure 41 Anthropology and ethnology diverge during the sowing time, while each is overtaken by sociology. Source: (Google 2012)" title="" id="1" name="Picture"/>
            <a:graphic>
              <a:graphicData uri="http://schemas.openxmlformats.org/drawingml/2006/picture">
                <pic:pic>
                  <pic:nvPicPr>
                    <pic:cNvPr descr="04_files/figure-docx/ttseas-1.png" id="0"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 Anthropology and ethnology diverge during the sowing time, while each is overtaken by sociology. Source:</w:t>
      </w:r>
      <w:r>
        <w:t xml:space="preserve"> </w:t>
      </w:r>
      <w:r>
        <w:t xml:space="preserve">(Google</w:t>
      </w:r>
      <w:r>
        <w:t xml:space="preserve"> </w:t>
      </w:r>
      <w:hyperlink w:anchor="ref-2012Google">
        <w:r>
          <w:rPr>
            <w:rStyle w:val="Hyperlink"/>
          </w:rPr>
          <w:t xml:space="preserve">2012</w:t>
        </w:r>
      </w:hyperlink>
      <w:r>
        <w:t xml:space="preserve">)</w:t>
      </w:r>
    </w:p>
    <w:p>
      <w:pPr>
        <w:pStyle w:val="BodyText"/>
      </w:pPr>
      <w:r>
        <w:t xml:space="preserve">The most important journals in anthropology and sociology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In the next section we will study the childhood of a new profession of social science, which ends with the Great War. We however draw the study out until 1922 to observe some of the transition into the next phase of development. As we will discuss presently, the journal data that form the basis of the cultural analysis of scholarship are endogenous to the sowing period. The journals literally did not exist, at least for very long, before the profession established itself in universities. 1922 also happens to be the end of the public domain in U.S. copyright, which will aid in the reproducibility of the analysis and will allow all readers to recover the texts in question without difficulty.</w:t>
      </w:r>
    </w:p>
    <w:p>
      <w:pPr>
        <w:pStyle w:val="Heading2"/>
      </w:pPr>
      <w:bookmarkStart w:id="153" w:name="a-census-of-words"/>
      <w:r>
        <w:t xml:space="preserve"> </w:t>
      </w:r>
      <w:r>
        <w:t xml:space="preserve">A census of words</w:t>
      </w:r>
      <w:bookmarkEnd w:id="153"/>
    </w:p>
    <w:p>
      <w:pPr>
        <w:pStyle w:val="BlockText"/>
      </w:pPr>
      <w:r>
        <w:t xml:space="preserve">“</w:t>
      </w:r>
      <w:r>
        <w:t xml:space="preserve">To master the whole meaning of the discovered truths and to understand all that is summarised in them, one must have looked closely at scientific life whilst it is still in a free state, that is, before it has been crystallised in the form of definite propositions</w:t>
      </w:r>
      <w:r>
        <w:t xml:space="preserve">”</w:t>
      </w:r>
      <w:r>
        <w:t xml:space="preserve"> </w:t>
      </w:r>
      <w:r>
        <w:t xml:space="preserve">(Durkheim</w:t>
      </w:r>
      <w:r>
        <w:t xml:space="preserve"> </w:t>
      </w:r>
      <w:hyperlink w:anchor="ref-Durkheim1893division">
        <w:r>
          <w:rPr>
            <w:rStyle w:val="Hyperlink"/>
          </w:rPr>
          <w:t xml:space="preserve">1893</w:t>
        </w:r>
      </w:hyperlink>
      <w:r>
        <w:t xml:space="preserve">:299)</w:t>
      </w:r>
      <w:r>
        <w:t xml:space="preserve">.</w:t>
      </w:r>
    </w:p>
    <w:p>
      <w:pPr>
        <w:pStyle w:val="FirstParagraph"/>
      </w:pPr>
      <w:r>
        <w:t xml:space="preserve">Given a relatively stable epoch in American society, one free of the most extreme exogenous shocks of war and economic depression, how is it possible to trace the development of the discursive structures of American social science scholarship? We will use the digitized texts of articles taken from the earliest journal in anthropology and in sociology in the JSTOR archive to represent a time series of discourse. The methodological challenge is how to count such an empirical source as text, which is seldom considered to be data at all. It is now unavoidable to delve into methodological considerations that will distract momentarily from the historical portrait painted above. Once we have results we will be able to rejoin the historical discussion with new evidence of scholarly development.</w:t>
      </w:r>
    </w:p>
    <w:p>
      <w:pPr>
        <w:pStyle w:val="BodyText"/>
      </w:pPr>
      <w:r>
        <w:t xml:space="preserve">Texts are after all for reading rather than counting. Above we have shown how counting is possible within certain categories that are given historically, namely the journal sources of texts and the institutional resources that were their context. Theoretically, however, there is a concern that discursive formations appear as a conversation among texts that may not be visible in the exterior labels given by discipline boundaries, or at least that such social or institutional labels are lagged behind their cultural origins, if indeed they ever break through from the cultural to the social. A genre category is the example par excellence of a socialized culture, one whose relevance to a society at large, however narrowly society may be conceived, is at least debatable because it is visible in the language as a category. The conjecture here is that direct analysis of texts may reveal the cultural currents, as Durkheim referred to them, before the crystallize into firmer social formations.</w:t>
      </w:r>
    </w:p>
    <w:p>
      <w:pPr>
        <w:pStyle w:val="BodyText"/>
      </w:pPr>
      <w:r>
        <w:t xml:space="preserve">To do that kind of counting at scale does require a humble approach to text. Text is the bearer of meaning when read by humans. When read by machines text are impoverished. Rather than claim to have access to the meanings of texts, we instead make the more conservative claim to have access to the vocabularies with which those meanings are communicated. Thus 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We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through these steps we may operationalize the notion of disciplines and fields of scholarship as conformity to vocabularies, then we believe a new horizon of intellectual history is possible. If on the other hand we find that machine-learned vocabularies do not correspond to human-learned understandings of the texts drawing on those vocabularies, then the discovery will be negative, that distant reading is not a scientific, historical, or hermeneutic method.</w:t>
      </w:r>
    </w:p>
    <w:p>
      <w:pPr>
        <w:pStyle w:val="BodyText"/>
      </w:pPr>
      <w:r>
        <w:t xml:space="preserve">The statistical tool we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Heading2"/>
      </w:pPr>
      <w:bookmarkStart w:id="154" w:name="digital-full-text-archives"/>
      <w:r>
        <w:t xml:space="preserve">Digital full-text archives</w:t>
      </w:r>
      <w:bookmarkEnd w:id="154"/>
    </w:p>
    <w:p>
      <w:pPr>
        <w:pStyle w:val="FirstParagraph"/>
      </w:pPr>
      <w:r>
        <w:t xml:space="preserve">In order to develop time series from a census of words, we rely on computational text analysis (CTA) or</w:t>
      </w:r>
      <w:r>
        <w:t xml:space="preserve"> </w:t>
      </w:r>
      <w:r>
        <w:t xml:space="preserve">“</w:t>
      </w:r>
      <w:r>
        <w:t xml:space="preserve">distant reading</w:t>
      </w:r>
      <w:r>
        <w:t xml:space="preserve">”</w:t>
      </w:r>
      <w:r>
        <w:t xml:space="preserve"> </w:t>
      </w:r>
      <w:r>
        <w:t xml:space="preserve">as it it known in the humanities. It will be helpful to consider the epistemological opportunities and challenges presented by the distant reading approach.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subjectivity of a particular person’s reading of history. Topic modeling, one method of CTA,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we are concerned with below are the historical vocabularies that writers used to construct texts in the past.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is a profound resource for the intellectual historian. That one could begin a reading with such context would be a transformative research tool. Vocabulary enumeration, by which we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Heading3"/>
      </w:pPr>
      <w:bookmarkStart w:id="155" w:name="quality-of-evidence"/>
      <w:r>
        <w:t xml:space="preserve">Quality of evidence</w:t>
      </w:r>
      <w:bookmarkEnd w:id="155"/>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the ITHAKA JSTOR archive. Digital storage devices like the portable document format (PDF) have also enabled texts to be represented in both a digital version and as a reasonable facsimile of paper originals. Reasonable, we should say, for most sociological purposes, but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r>
        <w:t xml:space="preserve">.</w:t>
      </w:r>
    </w:p>
    <w:p>
      <w:pPr>
        <w:pStyle w:val="BodyText"/>
      </w:pPr>
      <w:r>
        <w:t xml:space="preserve">Digital archives make research into the production of culture difficult, precisely because they misrepresent several aspects of the means of production.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the format and material condition of historical texts may have been common. We are liable, for instance, to underestimate the search costs to locate texts, and the fungibility of texts themselves.</w:t>
      </w:r>
    </w:p>
    <w:p>
      <w:pPr>
        <w:pStyle w:val="BodyText"/>
      </w:pPr>
      <w:r>
        <w:t xml:space="preserve">Simply put, if the texts we analyze are not the ones that historical actors read, can we be said to really be doing something historical? There are reasons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we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Heading3"/>
      </w:pPr>
      <w:bookmarkStart w:id="156" w:name="data-1"/>
      <w:r>
        <w:t xml:space="preserve">Data</w:t>
      </w:r>
      <w:bookmarkEnd w:id="156"/>
    </w:p>
    <w:p>
      <w:pPr>
        <w:pStyle w:val="FirstParagraph"/>
      </w:pPr>
      <w:r>
        <w:t xml:space="preserve">The optical character recognition that computers require in order to store text digitally depends critically on the hard work of creating quality scans of journal archives. JSTOR has done a commendable job of this. The entire record for two journals, American Anthropologist and the American Journal of Sociology, was downloaded manually in PDF format, including front and back matter, articles, and book reviews.</w:t>
      </w:r>
      <w:r>
        <w:rPr>
          <w:rStyle w:val="FootnoteReference"/>
        </w:rPr>
        <w:footnoteReference w:id="157"/>
      </w:r>
      <w:r>
        <w:t xml:space="preserve"> </w:t>
      </w:r>
      <w:r>
        <w:t xml:space="preserve">Though JSTOR offers an automated service for downloading texts in the bag-of-words format, a frequency table of the terms within it, we opted to use the PDF version which preserves word order. This full text format may be converted into a bag-of-words, but it will also give us the option to choose a unit of analysis smaller than the document by letting us divide the texts at points of our choosing.</w:t>
      </w:r>
    </w:p>
    <w:p>
      <w:pPr>
        <w:pStyle w:val="BodyText"/>
      </w:pPr>
      <w:r>
        <w:t xml:space="preserve">Table</w:t>
      </w:r>
      <w:r>
        <w:t xml:space="preserve"> </w:t>
      </w:r>
      <w:r>
        <w:t xml:space="preserve">23</w:t>
      </w:r>
      <w:r>
        <w:t xml:space="preserve"> </w:t>
      </w:r>
      <w:r>
        <w:t xml:space="preserve">summarizes the data preparation process. The sample included 5,444 documents containing on average nine pages and 43 paragraphs each. Upon initial importing of PDFs it was apparent that some of the digitization given by JSTOR was partial or corrupted. This was detectable as PDF documents with many pages but few characters. Such texts were re-digitized prior to analysis, and failure to do so would have left considerable data gaps that would have influenced the results.</w:t>
      </w:r>
    </w:p>
    <w:p>
      <w:pPr>
        <w:pStyle w:val="BodyText"/>
      </w:pPr>
      <w:r>
        <w:t xml:space="preserve">The cleaning of these raw units is a nontrivial task, first because there are many more items of text in a document than are actually relevant body text, and second because some body text was for one reason or another not successfully digitized during optical character recognition. Rather than writing ad hoc rules to filter out particular lines of text, we take a supervised machine learning approach. We drew a random sample of 1,250</w:t>
      </w:r>
      <w:r>
        <w:t xml:space="preserve"> </w:t>
      </w:r>
      <w:r>
        <w:t xml:space="preserve">“</w:t>
      </w:r>
      <w:r>
        <w:t xml:space="preserve">paragraphs</w:t>
      </w:r>
      <w:r>
        <w:t xml:space="preserve">”</w:t>
      </w:r>
      <w:r>
        <w:t xml:space="preserve">, which included both real syntactic paragraphs and any other elements delineated by a return, from the original PDF import, and we removed 250 for a holdout set for later model testing. We then hand coded all 1,250 training and test paragraphs according to a simple binary of</w:t>
      </w:r>
      <w:r>
        <w:t xml:space="preserve"> </w:t>
      </w:r>
      <w:r>
        <w:t xml:space="preserve">“</w:t>
      </w:r>
      <w:r>
        <w:t xml:space="preserve">keep</w:t>
      </w:r>
      <w:r>
        <w:t xml:space="preserve">”</w:t>
      </w:r>
      <w:r>
        <w:t xml:space="preserve"> </w:t>
      </w:r>
      <w:r>
        <w:t xml:space="preserve">or</w:t>
      </w:r>
      <w:r>
        <w:t xml:space="preserve"> </w:t>
      </w:r>
      <w:r>
        <w:t xml:space="preserve">“</w:t>
      </w:r>
      <w:r>
        <w:t xml:space="preserve">drop</w:t>
      </w:r>
      <w:r>
        <w:t xml:space="preserve">”</w:t>
      </w:r>
      <w:r>
        <w:t xml:space="preserve">. Examples of dropped paragraphs include anything from bibliography entries or partial text from numerical tables to optical character recognition (OCR) false positives, like stray marks on a page or character recognition of a photograph. Items to keep reflected any substantial body text even if it contained some OCR errors.</w:t>
      </w:r>
    </w:p>
    <w:p>
      <w:pPr>
        <w:pStyle w:val="BodyText"/>
      </w:pPr>
      <w:r>
        <w:t xml:space="preserve">Given the training set, we measured a dozen features to describe the contents of the paragraph. For instance, the number of vowels, consonants, numbers, and special characters were recorded. These features, both as raw counts and as proportions of the total number of characters per paragraph, were merged with the hand coded labels. The training portion was then fed to a super learner</w:t>
      </w:r>
      <w:r>
        <w:t xml:space="preserve"> </w:t>
      </w:r>
      <w:r>
        <w:t xml:space="preserve">(Polley et al.</w:t>
      </w:r>
      <w:r>
        <w:t xml:space="preserve"> </w:t>
      </w:r>
      <w:hyperlink w:anchor="ref-Polley2019SuperLearner">
        <w:r>
          <w:rPr>
            <w:rStyle w:val="Hyperlink"/>
          </w:rPr>
          <w:t xml:space="preserve">2019</w:t>
        </w:r>
      </w:hyperlink>
      <w:r>
        <w:t xml:space="preserve">)</w:t>
      </w:r>
      <w:r>
        <w:t xml:space="preserve">, which is an ensemble of several different kinds of linear and nonlinear prediction models.</w:t>
      </w:r>
      <w:r>
        <w:t xml:space="preserve"> </w:t>
      </w:r>
      <w:r>
        <w:t xml:space="preserve">Laan, Polley, and Hubbard (</w:t>
      </w:r>
      <w:hyperlink w:anchor="ref-vanderLaan2007Super">
        <w:r>
          <w:rPr>
            <w:rStyle w:val="Hyperlink"/>
          </w:rPr>
          <w:t xml:space="preserve">2007</w:t>
        </w:r>
      </w:hyperlink>
      <w:r>
        <w:t xml:space="preserve">)</w:t>
      </w:r>
      <w:r>
        <w:t xml:space="preserve"> </w:t>
      </w:r>
      <w:r>
        <w:t xml:space="preserve">have shown that a linear combination of the predictions of a diverse set of underlying learning models yields results that are more accurate than any model alone. Once the model was trained, it was validated on the 250 paragraphs in the test set. The model yields a probability that a particular paragraph should be dropped, and a probability threshold must be chosen to decide whether unlabeled paragraphs should be given the keep or drop label. We use a common measure of learner quality called area under the curve (AUC), which measures the performance of a learner as a ratio of the true positive to false positive rate across all classification thresholds. AUC has a possible range of 0.5 (perfect misclassification) to 1 (perfect classification). The model scored a value of 0.9871.</w:t>
      </w:r>
    </w:p>
    <w:p>
      <w:pPr>
        <w:pStyle w:val="BodyText"/>
      </w:pPr>
      <w:r>
        <w:t xml:space="preserve">The high AUC of our cleaning model gives us confidence that we will have a favorable rate of misclassification even when applying a very lax threshold value. We chose a low probability score of 0.32 as the threshold, which favors more false positives (keeping a drop) and fewer false negatives (dropping a keep). This permissive threshold is warranted because some of the false positives, which may be mixtures of good and bad text, are likely to be filtered out during subsequent data preparation steps. Roughly one third of paragraphs were dropped by this procedure, which is also an indication of how important this step is to get right. Indeed we may have more confidence in our ability to clean given access to the original full text than being supplied a bag-of-words format which offers little context for deciding what to filter out.</w:t>
      </w:r>
    </w:p>
    <w:p>
      <w:pPr>
        <w:pStyle w:val="BodyText"/>
      </w:pPr>
      <w:r>
        <w:t xml:space="preserve">Once data are clean they may be tokenized, which is to split at word and punctuation boundaries. We invented a reversible bag-of-words (BOW) data format to store tokenization such that the document, page, line, and paragraph locations of each token are preserved. Conventionally this information is thrown out, but keeping it allows great flexibility to the analyst and also makes it possible to trace even a BOW style technique like topic modeling back to the originating text. It also allows the researcher to easily bin tokens differently than at the document level, providing an opportunity for multilevel analysis. To wit, by revealing punctuation, the reversible BOW format lets us count sentences as well.</w:t>
      </w:r>
    </w:p>
    <w:p>
      <w:pPr>
        <w:pStyle w:val="BodyText"/>
      </w:pPr>
      <w:r>
        <w:t xml:space="preserve">The final step is called pre-processing, and involves making decisions about which tokens to keep and which to discard. In the reversible BOW format nothing is actually dropped, rather tokens are flagged by different drop criterion. For instance true/false value of whether a token is a stop-word or a number is recorded. The researcher may then query the database differently for different research decisions. We dropped punctuation, stop-words, terms smaller than three characters, and we kept numbers especially out of a concern to preserve dates. Finally all tokens are lemmatized, which reduced words in several parts of speech to a root. For instance, the lemma for</w:t>
      </w:r>
      <w:r>
        <w:t xml:space="preserve"> </w:t>
      </w:r>
      <w:r>
        <w:t xml:space="preserve">“</w:t>
      </w:r>
      <w:r>
        <w:t xml:space="preserve">run</w:t>
      </w:r>
      <w:r>
        <w:t xml:space="preserve">”</w:t>
      </w:r>
      <w:r>
        <w:t xml:space="preserve">,</w:t>
      </w:r>
      <w:r>
        <w:t xml:space="preserve"> </w:t>
      </w:r>
      <w:r>
        <w:t xml:space="preserve">“</w:t>
      </w:r>
      <w:r>
        <w:t xml:space="preserve">ran</w:t>
      </w:r>
      <w:r>
        <w:t xml:space="preserve">”</w:t>
      </w:r>
      <w:r>
        <w:t xml:space="preserve">, and</w:t>
      </w:r>
      <w:r>
        <w:t xml:space="preserve"> </w:t>
      </w:r>
      <w:r>
        <w:t xml:space="preserve">“</w:t>
      </w:r>
      <w:r>
        <w:t xml:space="preserve">running</w:t>
      </w:r>
      <w:r>
        <w:t xml:space="preserve">”</w:t>
      </w:r>
      <w:r>
        <w:t xml:space="preserve"> </w:t>
      </w:r>
      <w:r>
        <w:t xml:space="preserve">may simply be</w:t>
      </w:r>
      <w:r>
        <w:t xml:space="preserve"> </w:t>
      </w:r>
      <w:r>
        <w:t xml:space="preserve">“</w:t>
      </w:r>
      <w:r>
        <w:t xml:space="preserve">run</w:t>
      </w:r>
      <w:r>
        <w:t xml:space="preserve">”</w:t>
      </w:r>
      <w:r>
        <w:t xml:space="preserve">. Lemma are often abstract or non words themselves, so to aid in later interpretation we calculated the lemma common term, which is the token of highest frequency within a lemma category.</w:t>
      </w:r>
    </w:p>
    <w:p>
      <w:pPr>
        <w:pStyle w:val="Compact"/>
      </w:pPr>
      <w:r>
        <w:t xml:space="preserve">(#tab:filt)</w:t>
      </w:r>
      <w:r>
        <w:t xml:space="preserve">Term filtering due to data management</w:t>
      </w:r>
    </w:p>
    <w:p>
      <w:pPr>
        <w:pStyle w:val="Compact"/>
      </w:pPr>
      <w:r>
        <w:t xml:space="preserve">Step</w:t>
      </w:r>
    </w:p>
    <w:p>
      <w:pPr>
        <w:pStyle w:val="Compact"/>
      </w:pPr>
      <w:r>
        <w:t xml:space="preserve">Document</w:t>
      </w:r>
    </w:p>
    <w:p>
      <w:pPr>
        <w:pStyle w:val="Compact"/>
      </w:pPr>
      <w:r>
        <w:t xml:space="preserve">Page</w:t>
      </w:r>
    </w:p>
    <w:p>
      <w:pPr>
        <w:pStyle w:val="Compact"/>
      </w:pPr>
      <w:r>
        <w:t xml:space="preserve">Paragraph</w:t>
      </w:r>
    </w:p>
    <w:p>
      <w:pPr>
        <w:pStyle w:val="Compact"/>
      </w:pPr>
      <w:r>
        <w:t xml:space="preserve">Sentence</w:t>
      </w:r>
    </w:p>
    <w:p>
      <w:pPr>
        <w:pStyle w:val="Compact"/>
      </w:pPr>
      <w:r>
        <w:t xml:space="preserve">Token</w:t>
      </w:r>
    </w:p>
    <w:p>
      <w:pPr>
        <w:pStyle w:val="Compact"/>
      </w:pPr>
      <w:r>
        <w:t xml:space="preserve">Term</w:t>
      </w:r>
    </w:p>
    <w:p>
      <w:pPr>
        <w:pStyle w:val="Compact"/>
      </w:pPr>
      <w:r>
        <w:t xml:space="preserve">Lemma</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100 Percent</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3"/>
      </w:pPr>
      <w:bookmarkStart w:id="158" w:name="an-historical-interlude"/>
      <w:r>
        <w:t xml:space="preserve">An historical interlude</w:t>
      </w:r>
      <w:bookmarkEnd w:id="158"/>
    </w:p>
    <w:p>
      <w:pPr>
        <w:pStyle w:val="CaptionedFigure"/>
      </w:pPr>
      <w:r>
        <w:drawing>
          <wp:inline>
            <wp:extent cx="5334000" cy="3962399"/>
            <wp:effectExtent b="0" l="0" r="0" t="0"/>
            <wp:docPr descr="Figure 42 Annual count of journal issue contents, 1888-1922. Mean line with 95 percent confidence interval is fit using a robust regression with a quadratic term for year." title="" id="1" name="Picture"/>
            <a:graphic>
              <a:graphicData uri="http://schemas.openxmlformats.org/drawingml/2006/picture">
                <pic:pic>
                  <pic:nvPicPr>
                    <pic:cNvPr descr="04_files/figure-docx/jdpf-desc-1.png" id="0" name="Picture"/>
                    <pic:cNvPicPr>
                      <a:picLocks noChangeArrowheads="1" noChangeAspect="1"/>
                    </pic:cNvPicPr>
                  </pic:nvPicPr>
                  <pic:blipFill>
                    <a:blip r:embed="rId159"/>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42 Annual count of journal issue contents, 1888-1922. Mean line with 95 percent confidence interval is fit using a robust regression with a quadratic term for year.</w:t>
      </w:r>
    </w:p>
    <w:p>
      <w:pPr>
        <w:pStyle w:val="BodyText"/>
      </w:pPr>
      <w:r>
        <w:t xml:space="preserve">With some data in hand we may now describe anthropology and sociology in terms of the content of their two leading journals, American Anthropologist (AA) and the American Journal of Sociology (AJS). Figure</w:t>
      </w:r>
      <w:r>
        <w:t xml:space="preserve"> </w:t>
      </w:r>
      <w:r>
        <w:t xml:space="preserve">42</w:t>
      </w:r>
      <w:r>
        <w:t xml:space="preserve"> </w:t>
      </w:r>
      <w:r>
        <w:t xml:space="preserve">plots the total number of items contained in the journal each year, including, in addition to research articles, front and back matter, book reviews, advertisements, errata, and other miscellaneous items. First it can be noticed that AA has almost a decade’s lead before the start of AJS, but that AJS starts as a larger publication in these terms. It is sensible to expect that because anthropology was an empirical discipline that the rate of completion of research projects, which often required substantial field work, would be less than sociology, which had a greater role for social theory which was simply easier to produce. The trend for AA rose steadily but approached a plateau by 1910, after which it declined rapidly until the start of WWI. Two scenarios suggest themselves, first that these were delays in publishing received material as there was a steep correction in 1915, or second that this was an actual shift in focus precipitated by unsettled lives at the dawn of war. Sociology did not appear to experience a decline at all, but rather an acceleration of activity perhaps in anticipation of the war and continuing after.</w:t>
      </w:r>
    </w:p>
    <w:p>
      <w:pPr>
        <w:pStyle w:val="BodyText"/>
      </w:pPr>
      <w:r>
        <w:t xml:space="preserve">Figure</w:t>
      </w:r>
      <w:r>
        <w:t xml:space="preserve"> </w:t>
      </w:r>
      <w:r>
        <w:t xml:space="preserve">43</w:t>
      </w:r>
      <w:r>
        <w:t xml:space="preserve"> </w:t>
      </w:r>
      <w:r>
        <w:t xml:space="preserve">paints a more granular picture and shows a sharper contrast between the two journals. Here we see the count of the total number of words appearing in the journal each year, which allows us to control for variation in the physical format of the volumes. In the decade before the turn of the century AA plodded along very steadily in the neighborhood of 125,000 words a year. Perhaps noticing that it was being eclipsed in scale by peers in the social sciences, or perhaps because of the pressure of the newly arriving Ph.D.s, AA nearly doubles its output in a single year. It could not however sustain the injection and steadily falls back to its original level in a trend that all but ignores the war, save for a flurry of activity in 1915. These trends suggest that anthropology struggled to maintain its footing at it adapted to the new university context and the growth of its peers.</w:t>
      </w:r>
    </w:p>
    <w:p>
      <w:pPr>
        <w:pStyle w:val="CaptionedFigure"/>
      </w:pPr>
      <w:r>
        <w:drawing>
          <wp:inline>
            <wp:extent cx="5334000" cy="3962399"/>
            <wp:effectExtent b="0" l="0" r="0" t="0"/>
            <wp:docPr descr="Figure 43 Total word counts of all issues of all journal contents annually, 1888-1922. Mean line with 95 percent confidence interval is fit using a robust regression with a quadratic term for year." title="" id="1" name="Picture"/>
            <a:graphic>
              <a:graphicData uri="http://schemas.openxmlformats.org/drawingml/2006/picture">
                <pic:pic>
                  <pic:nvPicPr>
                    <pic:cNvPr descr="04_files/figure-docx/pre2ntok-1.png" id="0" name="Picture"/>
                    <pic:cNvPicPr>
                      <a:picLocks noChangeArrowheads="1" noChangeAspect="1"/>
                    </pic:cNvPicPr>
                  </pic:nvPicPr>
                  <pic:blipFill>
                    <a:blip r:embed="rId160"/>
                    <a:stretch>
                      <a:fillRect/>
                    </a:stretch>
                  </pic:blipFill>
                  <pic:spPr bwMode="auto">
                    <a:xfrm>
                      <a:off x="0" y="0"/>
                      <a:ext cx="5334000" cy="3962399"/>
                    </a:xfrm>
                    <a:prstGeom prst="rect">
                      <a:avLst/>
                    </a:prstGeom>
                    <a:noFill/>
                    <a:ln w="9525">
                      <a:noFill/>
                      <a:headEnd/>
                      <a:tailEnd/>
                    </a:ln>
                  </pic:spPr>
                </pic:pic>
              </a:graphicData>
            </a:graphic>
          </wp:inline>
        </w:drawing>
      </w:r>
    </w:p>
    <w:p>
      <w:pPr>
        <w:pStyle w:val="ImageCaption"/>
      </w:pPr>
      <w:r>
        <w:t xml:space="preserve">Figure 43 Total word counts of all issues of all journal contents annually, 1888-1922. Mean line with 95 percent confidence interval is fit using a robust regression with a quadratic term for year.</w:t>
      </w:r>
    </w:p>
    <w:p>
      <w:pPr>
        <w:pStyle w:val="BodyText"/>
      </w:pPr>
      <w:r>
        <w:t xml:space="preserve">We may now drill down further into these words. The goal of the following analysis will be to organize the text within each journal into subcategories of common vocabulary. We hesitate to call these subfields without qualitative cross validation, which is beyond the scope of the present study. What we will be able to accomplish is a prima facie argument for the scale and diversity of vocabularies at play within each journal. As we have discussed, vocabularies are not ideas, but they are good indications of who is speaking and about what.</w:t>
      </w:r>
    </w:p>
    <w:p>
      <w:pPr>
        <w:pStyle w:val="Heading3"/>
      </w:pPr>
      <w:bookmarkStart w:id="161" w:name="how-many-topics"/>
      <w:r>
        <w:t xml:space="preserve">How many topics?</w:t>
      </w:r>
      <w:bookmarkEnd w:id="161"/>
    </w:p>
    <w:p>
      <w:pPr>
        <w:pStyle w:val="FirstParagraph"/>
      </w:pPr>
      <w:r>
        <w:t xml:space="preserve">The biggest challenge for a study of historical vocabularies is discerning the scale of diversity. To borrow from Wuthnow</w:t>
      </w:r>
      <w:r>
        <w:t xml:space="preserve"> </w:t>
      </w:r>
      <w:r>
        <w:t xml:space="preserve">(</w:t>
      </w:r>
      <w:hyperlink w:anchor="ref-Wuthnow1989Communities">
        <w:r>
          <w:rPr>
            <w:rStyle w:val="Hyperlink"/>
          </w:rPr>
          <w:t xml:space="preserve">1989</w:t>
        </w:r>
      </w:hyperlink>
      <w:r>
        <w:t xml:space="preserve">)</w:t>
      </w:r>
      <w:r>
        <w:t xml:space="preserve"> </w:t>
      </w:r>
      <w:r>
        <w:t xml:space="preserve">and at the risk of impoverishing the term, how many different communities of discourse were at play within the journal space and in the relatively settled time following the sowing period? In this section we leverage the rich text data at our disposal to take a data modeling approach to answering this question. Doing so will require passing a technical hurdle in the application of the particular method of topic modeling that we have discussed.</w:t>
      </w:r>
    </w:p>
    <w:p>
      <w:pPr>
        <w:pStyle w:val="BodyText"/>
      </w:pPr>
      <w:r>
        <w:t xml:space="preserve">In using topic models to address historical questions researchers have found it very useful to assume an arbitrary number of topics, because the results of the model may still provide insights even when the true diversity of vocabularies is unknown. Some lines of research consider the gold standard for whether the analyst has chosen the right number to be the ease with which human readers can interpret topics</w:t>
      </w:r>
      <w:r>
        <w:t xml:space="preserve"> </w:t>
      </w:r>
      <w:r>
        <w:t xml:space="preserve">(Chang et al.</w:t>
      </w:r>
      <w:r>
        <w:t xml:space="preserve"> </w:t>
      </w:r>
      <w:hyperlink w:anchor="ref-Chang2009Reading">
        <w:r>
          <w:rPr>
            <w:rStyle w:val="Hyperlink"/>
          </w:rPr>
          <w:t xml:space="preserve">2009</w:t>
        </w:r>
      </w:hyperlink>
      <w:r>
        <w:t xml:space="preserve">)</w:t>
      </w:r>
      <w:r>
        <w:t xml:space="preserve">. In our case our goal is to capture a real phenomenon that is independent of our likely anachronistic readings of texts. We want to know the number of vocabularies that were actually at play in the historical situation, the expectation being that the number is far greater than an analyst might choose for either interpretive or computational convenience.</w:t>
      </w:r>
    </w:p>
    <w:p>
      <w:pPr>
        <w:pStyle w:val="BodyText"/>
      </w:pPr>
      <w:r>
        <w:t xml:space="preserve">Researchers conventionally feed entire documents into the construction of term frequencies. This method treats any term in a document as being related to any other term by the same degree. The goal of any topic mixture model algorithm is to sift these terms into different topic categories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as well as other topics not present in the focal article, such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To infer the correct number of topics we use the method described by</w:t>
      </w:r>
      <w:r>
        <w:t xml:space="preserve"> </w:t>
      </w:r>
      <w:r>
        <w:t xml:space="preserve">Mimno and Lee (</w:t>
      </w:r>
      <w:hyperlink w:anchor="ref-Mimno2014Lowdimensional">
        <w:r>
          <w:rPr>
            <w:rStyle w:val="Hyperlink"/>
          </w:rPr>
          <w:t xml:space="preserve">2014</w:t>
        </w:r>
      </w:hyperlink>
      <w:r>
        <w:t xml:space="preserve">)</w:t>
      </w:r>
      <w:r>
        <w:t xml:space="preserve"> </w:t>
      </w:r>
      <w:r>
        <w:t xml:space="preserve">and implemented in the R package</w:t>
      </w:r>
      <w:r>
        <w:t xml:space="preserve"> </w:t>
      </w:r>
      <w:r>
        <w:rPr>
          <w:rStyle w:val="VerbatimChar"/>
        </w:rPr>
        <w:t xml:space="preserve">stm</w:t>
      </w:r>
      <w:r>
        <w:t xml:space="preserve"> </w:t>
      </w:r>
      <w:r>
        <w:t xml:space="preserve">(Roberts et al.</w:t>
      </w:r>
      <w:r>
        <w:t xml:space="preserve"> </w:t>
      </w:r>
      <w:hyperlink w:anchor="ref-Roberts2018stm">
        <w:r>
          <w:rPr>
            <w:rStyle w:val="Hyperlink"/>
          </w:rPr>
          <w:t xml:space="preserve">2018</w:t>
        </w:r>
      </w:hyperlink>
      <w:r>
        <w:t xml:space="preserve">)</w:t>
      </w:r>
      <w:r>
        <w:t xml:space="preserve">. The concept is to represent words as coordinates in a vector space defined by every other term in the corpus, operationally as a square matrix with height and width equal to the length of the number of unique words in the global corpus, which in this case is 6,668. The elements of this matrix, called</w:t>
      </w:r>
      <w:r>
        <w:t xml:space="preserve"> </w:t>
      </w:r>
      <m:oMath>
        <m:r>
          <m:t>Q</m:t>
        </m:r>
      </m:oMath>
      <w:r>
        <w:t xml:space="preserve">, are counts of the number of texts in which both words appear. Leveraging the anchor words technique of</w:t>
      </w:r>
      <w:r>
        <w:t xml:space="preserve"> </w:t>
      </w:r>
      <w:r>
        <w:t xml:space="preserve">Arora et al. (</w:t>
      </w:r>
      <w:hyperlink w:anchor="ref-Arora2018Learning">
        <w:r>
          <w:rPr>
            <w:rStyle w:val="Hyperlink"/>
          </w:rPr>
          <w:t xml:space="preserve">2018</w:t>
        </w:r>
      </w:hyperlink>
      <w:r>
        <w:t xml:space="preserve">)</w:t>
      </w:r>
      <w:r>
        <w:t xml:space="preserve">, which posits that for every topic there exists a term present for that topic and no others, it is possible to identify these anchor words as points on a convex hull encompassing every other term in the corpus. The calculation of the convex hull of</w:t>
      </w:r>
      <w:r>
        <w:t xml:space="preserve"> </w:t>
      </w:r>
      <m:oMath>
        <m:r>
          <m:t>Q</m:t>
        </m:r>
      </m:oMath>
      <w:r>
        <w:t xml:space="preserve"> </w:t>
      </w:r>
      <w:r>
        <w:t xml:space="preserve">is nontrivial in its original high dimensional space but can be approximated. Mimno and Lee argue rather than approximate the convex hull in high dimensions the hull may be calculated exactly in an approximation of the original space in a low number of dimensions.</w:t>
      </w:r>
    </w:p>
    <w:p>
      <w:pPr>
        <w:pStyle w:val="BodyText"/>
      </w:pPr>
      <w:r>
        <w:t xml:space="preserve">The value of this approach is that the exact calculation of the convex hull of an approximation of</w:t>
      </w:r>
      <w:r>
        <w:t xml:space="preserve"> </w:t>
      </w:r>
      <m:oMath>
        <m:r>
          <m:t>Q</m:t>
        </m:r>
      </m:oMath>
      <w:r>
        <w:t xml:space="preserve"> </w:t>
      </w:r>
      <w:r>
        <w:t xml:space="preserve">solves two important problems for the resolution of a topic model; it makes an inference about the number of topics</w:t>
      </w:r>
      <w:r>
        <w:t xml:space="preserve"> </w:t>
      </w:r>
      <m:oMath>
        <m:r>
          <m:t>K</m:t>
        </m:r>
      </m:oMath>
      <w:r>
        <w:t xml:space="preserve"> </w:t>
      </w:r>
      <w:r>
        <w:t xml:space="preserve">and identifies the anchor words that can be used to exactly calculate the topic by term matrix. Mimno and Lee recommend a combination of computationally fast algorithms–random principal component analysis</w:t>
      </w:r>
      <w:r>
        <w:t xml:space="preserve"> </w:t>
      </w:r>
      <w:r>
        <w:t xml:space="preserve">(rPCA, Rokhlin, Szlam, and Tygert</w:t>
      </w:r>
      <w:r>
        <w:t xml:space="preserve"> </w:t>
      </w:r>
      <w:hyperlink w:anchor="ref-Rokhlin2009Randomized">
        <w:r>
          <w:rPr>
            <w:rStyle w:val="Hyperlink"/>
          </w:rPr>
          <w:t xml:space="preserve">2009</w:t>
        </w:r>
      </w:hyperlink>
      <w:r>
        <w:t xml:space="preserve">)</w:t>
      </w:r>
      <w:r>
        <w:t xml:space="preserve"> </w:t>
      </w:r>
      <w:r>
        <w:t xml:space="preserve">and t-distributed stochastic neighbor embeddings</w:t>
      </w:r>
      <w:r>
        <w:t xml:space="preserve"> </w:t>
      </w:r>
      <w:r>
        <w:t xml:space="preserve">(t-SNE, Maaten and Hinton</w:t>
      </w:r>
      <w:r>
        <w:t xml:space="preserve"> </w:t>
      </w:r>
      <w:hyperlink w:anchor="ref-Maaten2008Visualizing">
        <w:r>
          <w:rPr>
            <w:rStyle w:val="Hyperlink"/>
          </w:rPr>
          <w:t xml:space="preserve">2008</w:t>
        </w:r>
      </w:hyperlink>
      <w:r>
        <w:t xml:space="preserve">)</w:t>
      </w:r>
      <w:r>
        <w:t xml:space="preserve">–to achieve the low dimensional approximation of</w:t>
      </w:r>
      <w:r>
        <w:t xml:space="preserve"> </w:t>
      </w:r>
      <m:oMath>
        <m:r>
          <m:t>Q</m:t>
        </m:r>
      </m:oMath>
      <w:r>
        <w:t xml:space="preserve">.</w:t>
      </w:r>
    </w:p>
    <w:p>
      <w:pPr>
        <w:pStyle w:val="BodyText"/>
      </w:pPr>
      <w:r>
        <w:t xml:space="preserve">Though this is a clever solution to the choice of the number and contents of topics, in practice there is a lot of measurement error due to the randomization aspects of the</w:t>
      </w:r>
      <w:r>
        <w:t xml:space="preserve"> </w:t>
      </w:r>
      <m:oMath>
        <m:r>
          <m:t>Q</m:t>
        </m:r>
      </m:oMath>
      <w:r>
        <w:t xml:space="preserve"> </w:t>
      </w:r>
      <w:r>
        <w:t xml:space="preserve">approximation. Looking at just the estimate of the number of topics, repeating the algorithm multiple times creates a count distribution of possible Ks. On our corpus the median count of the number of topics running the approximation 1,000 times was 78, with a 95 percent confidence interval between 60 and 100. While this is very helpful in getting the researcher into the ballpark for choosing the correct</w:t>
      </w:r>
      <w:r>
        <w:t xml:space="preserve"> </w:t>
      </w:r>
      <m:oMath>
        <m:r>
          <m:t>K</m:t>
        </m:r>
      </m:oMath>
      <w:r>
        <w:t xml:space="preserve">, models fit with these varying assumptions for the number of topics will yield very different results.</w:t>
      </w:r>
    </w:p>
    <w:p>
      <w:pPr>
        <w:pStyle w:val="BodyText"/>
      </w:pPr>
      <w:r>
        <w:t xml:space="preserve">While it may be sensible to simply choose the median outcome of 78 for</w:t>
      </w:r>
      <w:r>
        <w:t xml:space="preserve"> </w:t>
      </w:r>
      <m:oMath>
        <m:r>
          <m:t>K</m:t>
        </m:r>
      </m:oMath>
      <w:r>
        <w:t xml:space="preserve">, it is not obvious that a notion of central tendency is appropriate given the highly nonlinear structure of</w:t>
      </w:r>
      <w:r>
        <w:t xml:space="preserve"> </w:t>
      </w:r>
      <m:oMath>
        <m:r>
          <m:t>Q</m:t>
        </m:r>
      </m:oMath>
      <w:r>
        <w:t xml:space="preserve">. To get a sense of how the empirical distribution of</w:t>
      </w:r>
      <w:r>
        <w:t xml:space="preserve"> </w:t>
      </w:r>
      <m:oMath>
        <m:r>
          <m:t>K</m:t>
        </m:r>
      </m:oMath>
      <w:r>
        <w:t xml:space="preserve"> </w:t>
      </w:r>
      <w:r>
        <w:t xml:space="preserve">compares to a plausible parametric distribution we model the error in the inference of</w:t>
      </w:r>
      <w:r>
        <w:t xml:space="preserve"> </w:t>
      </w:r>
      <m:oMath>
        <m:r>
          <m:t>K</m:t>
        </m:r>
      </m:oMath>
      <w:r>
        <w:t xml:space="preserve"> </w:t>
      </w:r>
      <w:r>
        <w:t xml:space="preserve">as a Poisson, using a maximum likelihood estimate of 78.894 for lambda. We then simulate from this distribution to obtain a range for each</w:t>
      </w:r>
      <w:r>
        <w:t xml:space="preserve"> </w:t>
      </w:r>
      <m:oMath>
        <m:r>
          <m:t>K</m:t>
        </m:r>
      </m:oMath>
      <w:r>
        <w:t xml:space="preserve">. By and large the observed counts of</w:t>
      </w:r>
      <w:r>
        <w:t xml:space="preserve"> </w:t>
      </w:r>
      <m:oMath>
        <m:r>
          <m:t>K</m:t>
        </m:r>
      </m:oMath>
      <w:r>
        <w:t xml:space="preserve"> </w:t>
      </w:r>
      <w:r>
        <w:t xml:space="preserve">fall within the ranges for each possible</w:t>
      </w:r>
      <w:r>
        <w:t xml:space="preserve"> </w:t>
      </w:r>
      <m:oMath>
        <m:r>
          <m:t>K</m:t>
        </m:r>
      </m:oMath>
      <w:r>
        <w:t xml:space="preserve"> </w:t>
      </w:r>
      <w:r>
        <w:t xml:space="preserve">suggested by this distribution very well, which lends credence to choice of lambda as the correct</w:t>
      </w:r>
      <w:r>
        <w:t xml:space="preserve"> </w:t>
      </w:r>
      <m:oMath>
        <m:r>
          <m:t>K</m:t>
        </m:r>
      </m:oMath>
      <w:r>
        <w:t xml:space="preserve">.</w:t>
      </w:r>
    </w:p>
    <w:p>
      <w:pPr>
        <w:pStyle w:val="BodyText"/>
      </w:pPr>
      <w:r>
        <w:t xml:space="preserve">There are however a few notable exceptions at the extremes of the distribution that diverge considerably from the Poisson. On the low side, a</w:t>
      </w:r>
      <w:r>
        <w:t xml:space="preserve"> </w:t>
      </w:r>
      <m:oMath>
        <m:r>
          <m:t>K</m:t>
        </m:r>
      </m:oMath>
      <w:r>
        <w:t xml:space="preserve"> </w:t>
      </w:r>
      <w:r>
        <w:t xml:space="preserve">of 50 occurs much more often, appearing more than six standard deviations higher than the expectation. On the high side a</w:t>
      </w:r>
      <w:r>
        <w:t xml:space="preserve"> </w:t>
      </w:r>
      <m:oMath>
        <m:r>
          <m:t>K</m:t>
        </m:r>
      </m:oMath>
      <w:r>
        <w:t xml:space="preserve"> </w:t>
      </w:r>
      <w:r>
        <w:t xml:space="preserve">of 104 appears more than four standard deviations more often.</w:t>
      </w:r>
    </w:p>
    <w:p>
      <w:pPr>
        <w:pStyle w:val="BodyText"/>
      </w:pPr>
      <w:r>
        <w:t xml:space="preserve">It may be that the task of coming up with the one true number of topics is not itself valid, that instead there may be several valid choices for</w:t>
      </w:r>
      <w:r>
        <w:t xml:space="preserve"> </w:t>
      </w:r>
      <m:oMath>
        <m:r>
          <m:t>K</m:t>
        </m:r>
      </m:oMath>
      <w:r>
        <w:t xml:space="preserve"> </w:t>
      </w:r>
      <w:r>
        <w:t xml:space="preserve">that differ by an assumption about the resolution of the underlying topic structure of the documents. It may not be a coincidence that the mean of 50 and 104, 77, is almost exactly the same as the median value 78 of repeated runs of the low dimensional embedding method of Mimno and Lee. If we assume for the sake of argument that these three levels of</w:t>
      </w:r>
      <w:r>
        <w:t xml:space="preserve"> </w:t>
      </w:r>
      <m:oMath>
        <m:r>
          <m:t>K</m:t>
        </m:r>
      </m:oMath>
      <w:r>
        <w:t xml:space="preserve"> </w:t>
      </w:r>
      <w:r>
        <w:t xml:space="preserve">are each valid, it implies that there may be a topic resolution assumption that helps explain the estimation variability.</w:t>
      </w:r>
    </w:p>
    <w:p>
      <w:pPr>
        <w:pStyle w:val="BodyText"/>
      </w:pPr>
      <w:r>
        <w:t xml:space="preserve">We theorize that the three</w:t>
      </w:r>
      <w:r>
        <w:t xml:space="preserve"> </w:t>
      </w:r>
      <m:oMath>
        <m:r>
          <m:t>K</m:t>
        </m:r>
      </m:oMath>
      <w:r>
        <w:t xml:space="preserve"> </w:t>
      </w:r>
      <w:r>
        <w:t xml:space="preserve">tiers discovered here reflect a real pattern of topic classifications. We posit that the low level of 50 describes the true seed topics out of which further combinations are routinely developed. The mid level of 78 we posit as a nonrandom pattern of combinations of the original 50 that is much lower than the thousands of combinatoric possibilities given 50 seed topics. Finally the high level of 104 we predict represents a transition from common to idiosyncratic discourses, the point at which the topic model begins to identify features of language and style that are sometimes considered junk but that are more appropriately conceptualized as personal rather than public features of discourse.</w:t>
      </w:r>
    </w:p>
    <w:p>
      <w:pPr>
        <w:pStyle w:val="BodyText"/>
      </w:pPr>
      <w:r>
        <w:t xml:space="preserve">To explore the conjecture that the low tier represents elemental topics, we conducted the following test. Documents are expected to be mixtures of topics, but we may surmise that these mixtures are a result of combining many lower level syntactic units that are themselves unmixed or at least less mixed, that is, that only express one or two topics. Sentences and paragraphs are easily identifiable low level syntactic units given access to the original full text of documents. It is credible to expect sentences or paragraphs to yield a clarified topic structure. Splitting up documents introduces an assumption that proximity matters even if word order is not strictly preserved. The bag-of-words format leads to the same association between words no matter how far apart they actually appear in the original text, though we may believe that words on the same page are more relevant to each other than words several pages apart. Organizing the large bag, documents, into smaller bags effectively prunes the associations of terms that are far apart by completely ignoring them unless they are very close together.</w:t>
      </w:r>
    </w:p>
    <w:p>
      <w:pPr>
        <w:pStyle w:val="BodyText"/>
      </w:pPr>
      <w:r>
        <w:t xml:space="preserve">Figures</w:t>
      </w:r>
      <w:r>
        <w:t xml:space="preserve"> </w:t>
      </w:r>
      <w:r>
        <w:t xml:space="preserve">44</w:t>
      </w:r>
      <w:r>
        <w:t xml:space="preserve"> </w:t>
      </w:r>
      <w:r>
        <w:t xml:space="preserve">and</w:t>
      </w:r>
      <w:r>
        <w:t xml:space="preserve"> </w:t>
      </w:r>
      <w:r>
        <w:t xml:space="preserve">45</w:t>
      </w:r>
      <w:r>
        <w:t xml:space="preserve"> </w:t>
      </w:r>
      <w:r>
        <w:t xml:space="preserve">illustrate the results of repeating the procedure of Mimno and Lee at these different syntactic levels. In Figure</w:t>
      </w:r>
      <w:r>
        <w:t xml:space="preserve"> </w:t>
      </w:r>
      <w:r>
        <w:t xml:space="preserve">44</w:t>
      </w:r>
      <w:r>
        <w:t xml:space="preserve"> </w:t>
      </w:r>
      <w:r>
        <w:t xml:space="preserve">the density of observed counts are represented as points labeled with their corresponding</w:t>
      </w:r>
      <w:r>
        <w:t xml:space="preserve"> </w:t>
      </w:r>
      <m:oMath>
        <m:r>
          <m:t>K</m:t>
        </m:r>
      </m:oMath>
      <w:r>
        <w:t xml:space="preserve"> </w:t>
      </w:r>
      <w:r>
        <w:t xml:space="preserve">value. The curves represent the fitted Poisson distributions for each level, while the shaded areas represent the simulated confidence intervals for each possible value of</w:t>
      </w:r>
      <w:r>
        <w:t xml:space="preserve"> </w:t>
      </w:r>
      <m:oMath>
        <m:r>
          <m:t>K</m:t>
        </m:r>
      </m:oMath>
      <w:r>
        <w:t xml:space="preserve">. As mentioned, most labels fall within the confidence interval, which suggests the the medians are a good operationalization of the real</w:t>
      </w:r>
      <w:r>
        <w:t xml:space="preserve"> </w:t>
      </w:r>
      <m:oMath>
        <m:r>
          <m:t>K</m:t>
        </m:r>
      </m:oMath>
      <w:r>
        <w:t xml:space="preserve">. This however appears to be more true of the document than the sentence or paragraph levels, which seem to be systematically above the curve in the center of the distribution and below it on the tails.</w:t>
      </w:r>
    </w:p>
    <w:p>
      <w:pPr>
        <w:pStyle w:val="CaptionedFigure"/>
      </w:pPr>
      <w:r>
        <w:drawing>
          <wp:inline>
            <wp:extent cx="4620126" cy="3696101"/>
            <wp:effectExtent b="0" l="0" r="0" t="0"/>
            <wp:docPr descr="Figure 44 Distribution of K by syntactic unit calculated by repeated solution of convex hull on low-dimensional embedding of word space." title="" id="1" name="Picture"/>
            <a:graphic>
              <a:graphicData uri="http://schemas.openxmlformats.org/drawingml/2006/picture">
                <pic:pic>
                  <pic:nvPicPr>
                    <pic:cNvPr descr="04_files/figure-docx/sim-fig-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44 Distribution of K by syntactic unit calculated by repeated solution of convex hull on low-dimensional embedding of word space.</w:t>
      </w:r>
    </w:p>
    <w:p>
      <w:pPr>
        <w:pStyle w:val="BodyText"/>
      </w:pPr>
      <w:r>
        <w:t xml:space="preserve">This feature of a more pointed shape is called leptokurtosis and corresponds to a kurtosis score greater than zero. If the empirical distributions of</w:t>
      </w:r>
      <w:r>
        <w:t xml:space="preserve"> </w:t>
      </w:r>
      <m:oMath>
        <m:r>
          <m:t>K</m:t>
        </m:r>
      </m:oMath>
      <w:r>
        <w:t xml:space="preserve"> </w:t>
      </w:r>
      <w:r>
        <w:t xml:space="preserve">are more leptokurtotic than the assumed Poisson error distribution it would suggest there is a tendency for the random search to be pulled more strongly to the median of these distributions, in a sense</w:t>
      </w:r>
      <w:r>
        <w:t xml:space="preserve"> </w:t>
      </w:r>
      <w:r>
        <w:t xml:space="preserve">“</w:t>
      </w:r>
      <w:r>
        <w:t xml:space="preserve">pointing to</w:t>
      </w:r>
      <w:r>
        <w:t xml:space="preserve">”</w:t>
      </w:r>
      <w:r>
        <w:t xml:space="preserve"> </w:t>
      </w:r>
      <w:r>
        <w:t xml:space="preserve">the true</w:t>
      </w:r>
      <w:r>
        <w:t xml:space="preserve"> </w:t>
      </w:r>
      <m:oMath>
        <m:r>
          <m:t>K</m:t>
        </m:r>
      </m:oMath>
      <w:r>
        <w:t xml:space="preserve"> </w:t>
      </w:r>
      <w:r>
        <w:t xml:space="preserve">value, lending weight to the median as the correct value of</w:t>
      </w:r>
      <w:r>
        <w:t xml:space="preserve"> </w:t>
      </w:r>
      <m:oMath>
        <m:r>
          <m:t>K</m:t>
        </m:r>
      </m:oMath>
      <w:r>
        <w:t xml:space="preserve">. To test whether this appearance is significant we calculate the kurtosis of all simulated distributions from each Poisson and then calculate the probability that the observed kurtosis is less than the simulation. The results are reported in Table</w:t>
      </w:r>
      <w:r>
        <w:t xml:space="preserve"> </w:t>
      </w:r>
      <w:r>
        <w:t xml:space="preserve">24</w:t>
      </w:r>
      <w:r>
        <w:t xml:space="preserve">. First, the appearance of leptokurtotic</w:t>
      </w:r>
      <w:r>
        <w:t xml:space="preserve"> </w:t>
      </w:r>
      <w:r>
        <w:t xml:space="preserve">“</w:t>
      </w:r>
      <w:r>
        <w:t xml:space="preserve">pointedness</w:t>
      </w:r>
      <w:r>
        <w:t xml:space="preserve">”</w:t>
      </w:r>
      <w:r>
        <w:t xml:space="preserve"> </w:t>
      </w:r>
      <w:r>
        <w:t xml:space="preserve">is not supported by a calculation of each distribution’s actual kurtosis in the case of documents or of paragraphs, and only very weakly in the case of sentences. None of the observed distributions are significantly more leptokurtotic than their associated Poisson, though it is more probable that the sentence level is more pointed than the other two.</w:t>
      </w:r>
    </w:p>
    <w:p>
      <w:pPr>
        <w:pStyle w:val="Compact"/>
      </w:pPr>
      <w:r>
        <w:t xml:space="preserve">(#tab:mlk2k)</w:t>
      </w:r>
      <w:r>
        <w:t xml:space="preserve">Kurtosis permutation test</w:t>
      </w:r>
    </w:p>
    <w:p>
      <w:pPr>
        <w:pStyle w:val="Compact"/>
      </w:pPr>
      <w:r>
        <w:t xml:space="preserve">level</w:t>
      </w:r>
    </w:p>
    <w:p>
      <w:pPr>
        <w:pStyle w:val="Compact"/>
      </w:pPr>
      <w:r>
        <w:t xml:space="preserve">observed</w:t>
      </w:r>
    </w:p>
    <w:p>
      <w:pPr>
        <w:pStyle w:val="Compact"/>
      </w:pPr>
      <w:r>
        <w:t xml:space="preserve">expected</w:t>
      </w:r>
    </w:p>
    <w:p>
      <w:pPr>
        <w:pStyle w:val="Compact"/>
      </w:pPr>
      <w:r>
        <w:t xml:space="preserve">l99</w:t>
      </w:r>
    </w:p>
    <w:p>
      <w:pPr>
        <w:pStyle w:val="Compact"/>
      </w:pPr>
      <w:r>
        <w:t xml:space="preserve">h99</w:t>
      </w:r>
    </w:p>
    <w:p>
      <w:pPr>
        <w:pStyle w:val="Compact"/>
      </w:pPr>
      <w:r>
        <w:t xml:space="preserve">P(o ≤ e)</w:t>
      </w:r>
    </w:p>
    <w:p>
      <w:pPr>
        <w:pStyle w:val="Compact"/>
      </w:pPr>
      <w:r>
        <w:t xml:space="preserve">document</w:t>
      </w:r>
    </w:p>
    <w:p>
      <w:pPr>
        <w:pStyle w:val="Compact"/>
      </w:pPr>
      <w:r>
        <w:t xml:space="preserve">-0.0901</w:t>
      </w:r>
    </w:p>
    <w:p>
      <w:pPr>
        <w:pStyle w:val="Compact"/>
      </w:pPr>
      <w:r>
        <w:t xml:space="preserve">-0.0014</w:t>
      </w:r>
    </w:p>
    <w:p>
      <w:pPr>
        <w:pStyle w:val="Compact"/>
      </w:pPr>
      <w:r>
        <w:t xml:space="preserve">-0.3251</w:t>
      </w:r>
    </w:p>
    <w:p>
      <w:pPr>
        <w:pStyle w:val="Compact"/>
      </w:pPr>
      <w:r>
        <w:t xml:space="preserve">0.4274</w:t>
      </w:r>
    </w:p>
    <w:p>
      <w:pPr>
        <w:pStyle w:val="Compact"/>
      </w:pPr>
      <w:r>
        <w:t xml:space="preserve">0.6932</w:t>
      </w:r>
    </w:p>
    <w:p>
      <w:pPr>
        <w:pStyle w:val="Compact"/>
      </w:pPr>
      <w:r>
        <w:t xml:space="preserve">paragraph</w:t>
      </w:r>
    </w:p>
    <w:p>
      <w:pPr>
        <w:pStyle w:val="Compact"/>
      </w:pPr>
      <w:r>
        <w:t xml:space="preserve">-0.1088</w:t>
      </w:r>
    </w:p>
    <w:p>
      <w:pPr>
        <w:pStyle w:val="Compact"/>
      </w:pPr>
      <w:r>
        <w:t xml:space="preserve">0.0041</w:t>
      </w:r>
    </w:p>
    <w:p>
      <w:pPr>
        <w:pStyle w:val="Compact"/>
      </w:pPr>
      <w:r>
        <w:t xml:space="preserve">-0.3176</w:t>
      </w:r>
    </w:p>
    <w:p>
      <w:pPr>
        <w:pStyle w:val="Compact"/>
      </w:pPr>
      <w:r>
        <w:t xml:space="preserve">0.4459</w:t>
      </w:r>
    </w:p>
    <w:p>
      <w:pPr>
        <w:pStyle w:val="Compact"/>
      </w:pPr>
      <w:r>
        <w:t xml:space="preserve">0.7526</w:t>
      </w:r>
    </w:p>
    <w:p>
      <w:pPr>
        <w:pStyle w:val="Compact"/>
      </w:pPr>
      <w:r>
        <w:t xml:space="preserve">sentence</w:t>
      </w:r>
    </w:p>
    <w:p>
      <w:pPr>
        <w:pStyle w:val="Compact"/>
      </w:pPr>
      <w:r>
        <w:t xml:space="preserve">0.0226</w:t>
      </w:r>
    </w:p>
    <w:p>
      <w:pPr>
        <w:pStyle w:val="Compact"/>
      </w:pPr>
      <w:r>
        <w:t xml:space="preserve">0.0082</w:t>
      </w:r>
    </w:p>
    <w:p>
      <w:pPr>
        <w:pStyle w:val="Compact"/>
      </w:pPr>
      <w:r>
        <w:t xml:space="preserve">-0.32</w:t>
      </w:r>
    </w:p>
    <w:p>
      <w:pPr>
        <w:pStyle w:val="Compact"/>
      </w:pPr>
      <w:r>
        <w:t xml:space="preserve">0.4747</w:t>
      </w:r>
    </w:p>
    <w:p>
      <w:pPr>
        <w:pStyle w:val="Compact"/>
      </w:pPr>
      <w:r>
        <w:t xml:space="preserve">0.4332</w:t>
      </w:r>
    </w:p>
    <w:p>
      <w:pPr>
        <w:pStyle w:val="BodyText"/>
      </w:pPr>
      <w:r>
        <w:t xml:space="preserve">Though the kurtosis test amounts to only very weak evidence that sentences represent a more stable topic structure than paragraphs or documents, when viewing the outcomes at the three levels together a more confident conclusion is apparent. Figure</w:t>
      </w:r>
      <w:r>
        <w:t xml:space="preserve"> </w:t>
      </w:r>
      <w:r>
        <w:t xml:space="preserve">45</w:t>
      </w:r>
      <w:r>
        <w:t xml:space="preserve"> </w:t>
      </w:r>
      <w:r>
        <w:t xml:space="preserve">plots only the labels that are significantly different than their Poisson errors. What is notable about the highly significant</w:t>
      </w:r>
      <w:r>
        <w:t xml:space="preserve"> </w:t>
      </w:r>
      <m:oMath>
        <m:r>
          <m:t>K</m:t>
        </m:r>
      </m:oMath>
      <w:r>
        <w:t xml:space="preserve"> </w:t>
      </w:r>
      <w:r>
        <w:t xml:space="preserve">of 50 at the document level is that it is located at the center of the combined sentence and paragraph structure. This suggests that 50 is a very good choice for the documents but one that a random search is very unlikely to find. That there is correspondence between the solution at different syntactic structures makes sense since documents are nothing but their sentences and paragraphs. By using the comparison to lower level units we conclude that 50 is the best choice for</w:t>
      </w:r>
      <w:r>
        <w:t xml:space="preserve"> </w:t>
      </w:r>
      <m:oMath>
        <m:r>
          <m:t>K</m:t>
        </m:r>
      </m:oMath>
      <w:r>
        <w:t xml:space="preserve"> </w:t>
      </w:r>
      <w:r>
        <w:t xml:space="preserve">for a document level topic model.</w:t>
      </w:r>
    </w:p>
    <w:p>
      <w:pPr>
        <w:pStyle w:val="CaptionedFigure"/>
      </w:pPr>
      <w:r>
        <w:drawing>
          <wp:inline>
            <wp:extent cx="4620126" cy="3696101"/>
            <wp:effectExtent b="0" l="0" r="0" t="0"/>
            <wp:docPr descr="Figure 45 Significant Counts of K." title="" id="1" name="Picture"/>
            <a:graphic>
              <a:graphicData uri="http://schemas.openxmlformats.org/drawingml/2006/picture">
                <pic:pic>
                  <pic:nvPicPr>
                    <pic:cNvPr descr="04_files/figure-docx/sim-fig2-1.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45 Significant Counts of K.</w:t>
      </w:r>
    </w:p>
    <w:p>
      <w:pPr>
        <w:pStyle w:val="Heading2"/>
      </w:pPr>
      <w:bookmarkStart w:id="164" w:name="topic-interpretation-1"/>
      <w:r>
        <w:t xml:space="preserve"> </w:t>
      </w:r>
      <w:r>
        <w:t xml:space="preserve">Topic interpretation</w:t>
      </w:r>
      <w:bookmarkEnd w:id="164"/>
    </w:p>
    <w:p>
      <w:pPr>
        <w:pStyle w:val="FirstParagraph"/>
      </w:pPr>
      <w:r>
        <w:t xml:space="preserve">We fit a structural topic model with</w:t>
      </w:r>
      <w:r>
        <w:t xml:space="preserve"> </w:t>
      </w:r>
      <m:oMath>
        <m:r>
          <m:t>K</m:t>
        </m:r>
      </m:oMath>
      <w:r>
        <w:t xml:space="preserve"> </w:t>
      </w:r>
      <w:r>
        <w:t xml:space="preserve">equal to 50 and with one document covariate term, whether the document was from anthropology or sociology. While not strictly necessary, the discipline term provides a convenient method of ranking the topics according to the discipline in which they are most prevalent. Figure</w:t>
      </w:r>
      <w:r>
        <w:t xml:space="preserve"> </w:t>
      </w:r>
      <w:r>
        <w:t xml:space="preserve">46</w:t>
      </w:r>
      <w:r>
        <w:t xml:space="preserve"> </w:t>
      </w:r>
      <w:r>
        <w:t xml:space="preserve">shows all 50 topics as a time series by discipline, ranked from the most prevalent in anthropology to the most prevalent in sociology. Toward the middle of the grid are topics that are more equally divided between the disciplines. We will first characterize the most anthropological and most sociological topics and then discuss a few that are mixed, and in the next section we will analyze whether there are turning points that correspond to the exogenous events we have described above.</w:t>
      </w:r>
    </w:p>
    <w:p>
      <w:pPr>
        <w:pStyle w:val="BodyText"/>
      </w:pPr>
      <w:r>
        <w:t xml:space="preserve">Mathematically, a topic is a pair of probability vectors, one describing the topic as a composition of terms, and the other describing documents as a composition of topics. Researchers conventionally use these probabilities to create ranked word and document lists that then stand in for the qualitative content modeled by the topics. An inspection of the underlying documents is beyond the present scope, but it would entail dividing the corpus into clusters based on the main topic classifications of each document and possibly by different patterns of topic mixing. Instead we understand documents in their disaggregated forms, with the portion they contribute to a topic being added to that of every other document participating in the same vocabulary.</w:t>
      </w:r>
    </w:p>
    <w:p>
      <w:pPr>
        <w:pStyle w:val="BodyText"/>
      </w:pPr>
      <w:r>
        <w:t xml:space="preserve">Although vocabulary is an abstract concept it nonetheless represents an independent dimension of scholarship. Vocabularies are ways that scholars can connect to common conversations. They exist above and between particular documents, and in many ways vocabularies are a signal of relevance. The mass of a vocabulary can be thought of as the aggregate number of words drawn from it across the entire professional field. We assume perfect information and access to all scholarship, which at this point in history is not an unrealistic standard given that we have limited the study to the single most important journal in each discipline. This means that the average scholar was aware of most of the different conversations occurring within their own field of study, an assumption that in the present day would be untenable given the subsequent growth of the social sciences. By measuring the number of words drawn from each vocabulary we have a macroscopic view of how the attention of the entirety of each discipline was allocated and when.</w:t>
      </w:r>
    </w:p>
    <w:p>
      <w:pPr>
        <w:pStyle w:val="BodyText"/>
      </w:pPr>
      <w:r>
        <w:t xml:space="preserve">Below we will characterize selected topics both by the pattern of their time series and by the words most important within each topic. There are two approaches to measuring a term’s importance within a topic. The first is its raw frequency, which is its local topic probability multiplied by its global corpus frequency. These are the words that appear the most often within a topic. Second is a topic’s relative share of a term’s frequency, which means that a term is important to the extent that it is exclusively concentrated within a topic. In the tables that follow we provide a term list of each type, as well as a third list which is an equal weighting of both criteria. The formula we use to construct these lists is called relevancy, and it is controlled by a weighting parameter lambda that sets the ratio of frequency to exclusivity</w:t>
      </w:r>
      <w:r>
        <w:t xml:space="preserve"> </w:t>
      </w:r>
      <w:r>
        <w:t xml:space="preserve">(Sievert and Shirley</w:t>
      </w:r>
      <w:r>
        <w:t xml:space="preserve"> </w:t>
      </w:r>
      <w:hyperlink w:anchor="ref-Sievert2014LDAvis">
        <w:r>
          <w:rPr>
            <w:rStyle w:val="Hyperlink"/>
          </w:rPr>
          <w:t xml:space="preserve">2014</w:t>
        </w:r>
      </w:hyperlink>
      <w:r>
        <w:t xml:space="preserve">)</w:t>
      </w:r>
      <w:r>
        <w:t xml:space="preserve">. When lambda is close to 0 the ranking reflects exclusivity, when it is close to 1 it reflects frequency, and when it is 0.5 it is an equal weighting. It is possible for a word to be both frequent and exclusive, and this may appropriately be considered evidence of even greater importance to a topic. Indeed as a single label to refer to topics that is more memorable than a number, we will use the most highly ranked term when frequency and exclusivity are ranked equally.</w:t>
      </w:r>
    </w:p>
    <w:p>
      <w:pPr>
        <w:pStyle w:val="CaptionedFigure"/>
      </w:pPr>
      <w:r>
        <w:drawing>
          <wp:inline>
            <wp:extent cx="4620126" cy="7392202"/>
            <wp:effectExtent b="0" l="0" r="0" t="0"/>
            <wp:docPr descr="Figure 46 Topic time series of sociology (orange) and anthropology (green). Darker topic labels indicate higher corpus frequencies. Pink lines mark beginning and end of WWI." title="" id="1" name="Picture"/>
            <a:graphic>
              <a:graphicData uri="http://schemas.openxmlformats.org/drawingml/2006/picture">
                <pic:pic>
                  <pic:nvPicPr>
                    <pic:cNvPr descr="04_files/figure-docx/kts-1.png" id="0" name="Picture"/>
                    <pic:cNvPicPr>
                      <a:picLocks noChangeArrowheads="1" noChangeAspect="1"/>
                    </pic:cNvPicPr>
                  </pic:nvPicPr>
                  <pic:blipFill>
                    <a:blip r:embed="rId165"/>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Figure 46 Topic time series of sociology (orange) and anthropology (green). Darker topic labels indicate higher corpus frequencies. Pink lines mark beginning and end of WWI.</w:t>
      </w:r>
    </w:p>
    <w:p>
      <w:pPr>
        <w:pStyle w:val="BodyText"/>
      </w:pPr>
      <w:r>
        <w:t xml:space="preserve">From this population of time series we select several illustrative cases. First we compare topics that align strongly with one discipline or the other to those that are mixed. Then we compare topics according to their trajectories ahead of and during WWI.</w:t>
      </w:r>
    </w:p>
    <w:p>
      <w:pPr>
        <w:pStyle w:val="Heading3"/>
      </w:pPr>
      <w:bookmarkStart w:id="166" w:name="anthropology"/>
      <w:r>
        <w:t xml:space="preserve">Anthropology</w:t>
      </w:r>
      <w:bookmarkEnd w:id="166"/>
    </w:p>
    <w:p>
      <w:pPr>
        <w:pStyle w:val="FirstParagraph"/>
      </w:pPr>
      <w:r>
        <w:t xml:space="preserve">Topic 29,</w:t>
      </w:r>
      <w:r>
        <w:t xml:space="preserve"> </w:t>
      </w:r>
      <w:r>
        <w:rPr>
          <w:i/>
        </w:rPr>
        <w:t xml:space="preserve">feet</w:t>
      </w:r>
      <w:r>
        <w:t xml:space="preserve">, is the largest for anthropology and encompasses the archaeology of native American civilizations. It includes research into the famous mound builders of the Adena cultures, but covers all discourse surrounding excavation. It may rightly be called the archaeological discourse within anthropology. The topic trend is consistently high over the sample period with a peak around 1907.</w:t>
      </w:r>
    </w:p>
    <w:p>
      <w:pPr>
        <w:pStyle w:val="Compact"/>
      </w:pPr>
      <w:r>
        <w:t xml:space="preserve">(#tab:t29-a)</w:t>
      </w:r>
      <w:r>
        <w:t xml:space="preserve">Topic 29,</w:t>
      </w:r>
      <w:r>
        <w:t xml:space="preserve"> </w:t>
      </w:r>
      <w:r>
        <w:rPr>
          <w:i/>
        </w:rPr>
        <w:t xml:space="preserve">feet</w:t>
      </w:r>
    </w:p>
    <w:p>
      <w:pPr>
        <w:pStyle w:val="Compact"/>
      </w:pPr>
      <w:r>
        <w:t xml:space="preserve">lambda</w:t>
      </w:r>
    </w:p>
    <w:p>
      <w:pPr>
        <w:pStyle w:val="Compact"/>
      </w:pPr>
      <w:r>
        <w:t xml:space="preserve">Terms</w:t>
      </w:r>
    </w:p>
    <w:p>
      <w:pPr>
        <w:pStyle w:val="Compact"/>
      </w:pPr>
      <w:r>
        <w:t xml:space="preserve">model anchor: fractured</w:t>
      </w:r>
    </w:p>
    <w:p>
      <w:pPr>
        <w:pStyle w:val="Compact"/>
      </w:pPr>
      <w:r>
        <w:t xml:space="preserve">0.01</w:t>
      </w:r>
    </w:p>
    <w:p>
      <w:pPr>
        <w:pStyle w:val="Compact"/>
      </w:pPr>
      <w:r>
        <w:t xml:space="preserve">fractured, bowlder, limestone, flakes, potsherds, sandstone, debris, layers, quartz, trenches</w:t>
      </w:r>
    </w:p>
    <w:p>
      <w:pPr>
        <w:pStyle w:val="Compact"/>
      </w:pPr>
      <w:r>
        <w:t xml:space="preserve">0.5</w:t>
      </w:r>
    </w:p>
    <w:p>
      <w:pPr>
        <w:pStyle w:val="Compact"/>
      </w:pPr>
      <w:r>
        <w:t xml:space="preserve">feet, mounds, site, stones, ruins, found, wall, implements, caves, bones</w:t>
      </w:r>
    </w:p>
    <w:p>
      <w:pPr>
        <w:pStyle w:val="Compact"/>
      </w:pPr>
      <w:r>
        <w:t xml:space="preserve">1</w:t>
      </w:r>
    </w:p>
    <w:p>
      <w:pPr>
        <w:pStyle w:val="Compact"/>
      </w:pPr>
      <w:r>
        <w:t xml:space="preserve">found, stones, feet, one, mounds, site, two, nearly, ruins, form</w:t>
      </w:r>
    </w:p>
    <w:p>
      <w:pPr>
        <w:pStyle w:val="BodyText"/>
      </w:pPr>
      <w:r>
        <w:t xml:space="preserve">Topic 28,</w:t>
      </w:r>
      <w:r>
        <w:t xml:space="preserve"> </w:t>
      </w:r>
      <w:r>
        <w:rPr>
          <w:i/>
        </w:rPr>
        <w:t xml:space="preserve">Museum</w:t>
      </w:r>
      <w:r>
        <w:t xml:space="preserve">, shows a more variable pattern. It is relatively week until just before the turn of the century where it experiences a surge. Also relevant to archaeology, and even more explicitly so, the topic covers the names of important figures like Smithsonian.</w:t>
      </w:r>
      <w:r>
        <w:t xml:space="preserve"> </w:t>
      </w:r>
      <w:r>
        <w:rPr>
          <w:i/>
        </w:rPr>
        <w:t xml:space="preserve">Museum</w:t>
      </w:r>
      <w:r>
        <w:t xml:space="preserve"> </w:t>
      </w:r>
      <w:r>
        <w:t xml:space="preserve">may be the archival facet of the same endeavor that</w:t>
      </w:r>
      <w:r>
        <w:t xml:space="preserve"> </w:t>
      </w:r>
      <w:r>
        <w:rPr>
          <w:i/>
        </w:rPr>
        <w:t xml:space="preserve">feet</w:t>
      </w:r>
      <w:r>
        <w:t xml:space="preserve"> </w:t>
      </w:r>
      <w:r>
        <w:t xml:space="preserve">represents in the field. The rise in the trend is mirrored by a similar decline in the second half of the period, which is consistent with expected decline of the term ethnology which is very frequent.</w:t>
      </w:r>
    </w:p>
    <w:p>
      <w:pPr>
        <w:pStyle w:val="Compact"/>
      </w:pPr>
      <w:r>
        <w:t xml:space="preserve">(#tab:t28-a)</w:t>
      </w:r>
      <w:r>
        <w:t xml:space="preserve">Topic 28,</w:t>
      </w:r>
      <w:r>
        <w:t xml:space="preserve"> </w:t>
      </w:r>
      <w:r>
        <w:rPr>
          <w:i/>
        </w:rPr>
        <w:t xml:space="preserve">Museum</w:t>
      </w:r>
    </w:p>
    <w:p>
      <w:pPr>
        <w:pStyle w:val="Compact"/>
      </w:pPr>
      <w:r>
        <w:t xml:space="preserve">lambda</w:t>
      </w:r>
    </w:p>
    <w:p>
      <w:pPr>
        <w:pStyle w:val="Compact"/>
      </w:pPr>
      <w:r>
        <w:t xml:space="preserve">Terms</w:t>
      </w:r>
    </w:p>
    <w:p>
      <w:pPr>
        <w:pStyle w:val="Compact"/>
      </w:pPr>
      <w:r>
        <w:t xml:space="preserve">model anchor: threehundrednine</w:t>
      </w:r>
    </w:p>
    <w:p>
      <w:pPr>
        <w:pStyle w:val="Compact"/>
      </w:pPr>
      <w:r>
        <w:t xml:space="preserve">0.01</w:t>
      </w:r>
    </w:p>
    <w:p>
      <w:pPr>
        <w:pStyle w:val="Compact"/>
      </w:pPr>
      <w:r>
        <w:t xml:space="preserve">threehundrednine, curative, Archeology, medals, Museum, Cushing, seum, trip, Smithsonian, Evans</w:t>
      </w:r>
    </w:p>
    <w:p>
      <w:pPr>
        <w:pStyle w:val="Compact"/>
      </w:pPr>
      <w:r>
        <w:t xml:space="preserve">0.5</w:t>
      </w:r>
    </w:p>
    <w:p>
      <w:pPr>
        <w:pStyle w:val="Compact"/>
      </w:pPr>
      <w:r>
        <w:t xml:space="preserve">Museum, Archeology, collective, Anthropological, ETHNOLOGY, curative, Expedition, explored, prehistoric, researches</w:t>
      </w:r>
    </w:p>
    <w:p>
      <w:pPr>
        <w:pStyle w:val="Compact"/>
      </w:pPr>
      <w:r>
        <w:t xml:space="preserve">1</w:t>
      </w:r>
    </w:p>
    <w:p>
      <w:pPr>
        <w:pStyle w:val="Compact"/>
      </w:pPr>
      <w:r>
        <w:t xml:space="preserve">Museum, collective, Anthropological, Work, years, Archeology, ETHNOLOGY, will, American, study</w:t>
      </w:r>
    </w:p>
    <w:p>
      <w:pPr>
        <w:pStyle w:val="BodyText"/>
      </w:pPr>
      <w:r>
        <w:t xml:space="preserve">Topic 31,</w:t>
      </w:r>
      <w:r>
        <w:t xml:space="preserve"> </w:t>
      </w:r>
      <w:r>
        <w:rPr>
          <w:i/>
        </w:rPr>
        <w:t xml:space="preserve">Totemism</w:t>
      </w:r>
      <w:r>
        <w:t xml:space="preserve">, shows a different pattern, rising only slowly at first then gaining speed toward the end of the period and through the war. It represents a concern with the culture and politics of lineage in tribal social structure. The model anchor phratry is a technical term for kinship groups, and exogamy refers to marriage between groups.</w:t>
      </w:r>
    </w:p>
    <w:p>
      <w:pPr>
        <w:pStyle w:val="Compact"/>
      </w:pPr>
      <w:r>
        <w:t xml:space="preserve">(#tab:t31-a)</w:t>
      </w:r>
      <w:r>
        <w:t xml:space="preserve">Topic 31,</w:t>
      </w:r>
      <w:r>
        <w:t xml:space="preserve"> </w:t>
      </w:r>
      <w:r>
        <w:rPr>
          <w:i/>
        </w:rPr>
        <w:t xml:space="preserve">Totemism</w:t>
      </w:r>
    </w:p>
    <w:p>
      <w:pPr>
        <w:pStyle w:val="Compact"/>
      </w:pPr>
      <w:r>
        <w:t xml:space="preserve">lambda</w:t>
      </w:r>
    </w:p>
    <w:p>
      <w:pPr>
        <w:pStyle w:val="Compact"/>
      </w:pPr>
      <w:r>
        <w:t xml:space="preserve">Terms</w:t>
      </w:r>
    </w:p>
    <w:p>
      <w:pPr>
        <w:pStyle w:val="Compact"/>
      </w:pPr>
      <w:r>
        <w:t xml:space="preserve">model anchor: phratries</w:t>
      </w:r>
    </w:p>
    <w:p>
      <w:pPr>
        <w:pStyle w:val="Compact"/>
      </w:pPr>
      <w:r>
        <w:t xml:space="preserve">0.01</w:t>
      </w:r>
    </w:p>
    <w:p>
      <w:pPr>
        <w:pStyle w:val="Compact"/>
      </w:pPr>
      <w:r>
        <w:t xml:space="preserve">phratries, exogamous, Exogamy, Totemism, Kwakiutl, descent, kinship, clans, uncle, Goldenweiser</w:t>
      </w:r>
    </w:p>
    <w:p>
      <w:pPr>
        <w:pStyle w:val="Compact"/>
      </w:pPr>
      <w:r>
        <w:t xml:space="preserve">0.5</w:t>
      </w:r>
    </w:p>
    <w:p>
      <w:pPr>
        <w:pStyle w:val="Compact"/>
      </w:pPr>
      <w:r>
        <w:t xml:space="preserve">Totemism, clans, tribes, culture, phratries, descent, exogamous, kinship, Exogamy, groups</w:t>
      </w:r>
    </w:p>
    <w:p>
      <w:pPr>
        <w:pStyle w:val="Compact"/>
      </w:pPr>
      <w:r>
        <w:t xml:space="preserve">1</w:t>
      </w:r>
    </w:p>
    <w:p>
      <w:pPr>
        <w:pStyle w:val="Compact"/>
      </w:pPr>
      <w:r>
        <w:t xml:space="preserve">tribes, clans, culture, groups, Totemism, Among, may, one, difference, origin</w:t>
      </w:r>
    </w:p>
    <w:p>
      <w:pPr>
        <w:pStyle w:val="Heading3"/>
      </w:pPr>
      <w:bookmarkStart w:id="167" w:name="sociology"/>
      <w:r>
        <w:t xml:space="preserve">Sociology</w:t>
      </w:r>
      <w:bookmarkEnd w:id="167"/>
    </w:p>
    <w:p>
      <w:pPr>
        <w:pStyle w:val="FirstParagraph"/>
      </w:pPr>
      <w:r>
        <w:t xml:space="preserve">Topic 34,</w:t>
      </w:r>
      <w:r>
        <w:t xml:space="preserve"> </w:t>
      </w:r>
      <w:r>
        <w:rPr>
          <w:i/>
        </w:rPr>
        <w:t xml:space="preserve">instincts</w:t>
      </w:r>
      <w:r>
        <w:t xml:space="preserve">, is an example of a trend continuously on the rise in this period. It is also exemplary for sociology’s preference for abstract theorizing, which stood in stark contrast to anthropology’s deep embedding in empirical field studies. The terms are relevant to psycho-social discourse around human drives and experiences of sociality and selfhood.</w:t>
      </w:r>
    </w:p>
    <w:p>
      <w:pPr>
        <w:pStyle w:val="Compact"/>
      </w:pPr>
      <w:r>
        <w:t xml:space="preserve">(#tab:t34-s)</w:t>
      </w:r>
      <w:r>
        <w:t xml:space="preserve">Topic 34,</w:t>
      </w:r>
      <w:r>
        <w:t xml:space="preserve"> </w:t>
      </w:r>
      <w:r>
        <w:rPr>
          <w:i/>
        </w:rPr>
        <w:t xml:space="preserve">instincts</w:t>
      </w:r>
    </w:p>
    <w:p>
      <w:pPr>
        <w:pStyle w:val="Compact"/>
      </w:pPr>
      <w:r>
        <w:t xml:space="preserve">lambda</w:t>
      </w:r>
    </w:p>
    <w:p>
      <w:pPr>
        <w:pStyle w:val="Compact"/>
      </w:pPr>
      <w:r>
        <w:t xml:space="preserve">Terms</w:t>
      </w:r>
    </w:p>
    <w:p>
      <w:pPr>
        <w:pStyle w:val="Compact"/>
      </w:pPr>
      <w:r>
        <w:t xml:space="preserve">model anchor: fecundity</w:t>
      </w:r>
    </w:p>
    <w:p>
      <w:pPr>
        <w:pStyle w:val="Compact"/>
      </w:pPr>
      <w:r>
        <w:t xml:space="preserve">0.01</w:t>
      </w:r>
    </w:p>
    <w:p>
      <w:pPr>
        <w:pStyle w:val="Compact"/>
      </w:pPr>
      <w:r>
        <w:t xml:space="preserve">fecundity, inhibition, gregarious, instincts, stimuli, emotions, innate, rivalry, intimacy, stimulus</w:t>
      </w:r>
    </w:p>
    <w:p>
      <w:pPr>
        <w:pStyle w:val="Compact"/>
      </w:pPr>
      <w:r>
        <w:t xml:space="preserve">0.5</w:t>
      </w:r>
    </w:p>
    <w:p>
      <w:pPr>
        <w:pStyle w:val="Compact"/>
      </w:pPr>
      <w:r>
        <w:t xml:space="preserve">instincts, groups, individual, emotions, impulse, feeling, consciousness, self, persons, conflict</w:t>
      </w:r>
    </w:p>
    <w:p>
      <w:pPr>
        <w:pStyle w:val="Compact"/>
      </w:pPr>
      <w:r>
        <w:t xml:space="preserve">1</w:t>
      </w:r>
    </w:p>
    <w:p>
      <w:pPr>
        <w:pStyle w:val="Compact"/>
      </w:pPr>
      <w:r>
        <w:t xml:space="preserve">groups, individual, may, social, instincts, persons, form, one, organization, life</w:t>
      </w:r>
    </w:p>
    <w:p>
      <w:pPr>
        <w:pStyle w:val="BodyText"/>
      </w:pPr>
      <w:r>
        <w:t xml:space="preserve">Topic 19,</w:t>
      </w:r>
      <w:r>
        <w:t xml:space="preserve"> </w:t>
      </w:r>
      <w:r>
        <w:rPr>
          <w:i/>
        </w:rPr>
        <w:t xml:space="preserve">social</w:t>
      </w:r>
      <w:r>
        <w:t xml:space="preserve">, refers again to more abstract terms in social theory and jurisprudence as well as some terms like evolutionary and equilibrium suggesting models informed by the sciences. It’s trend represents one of constant attention across the period.</w:t>
      </w:r>
    </w:p>
    <w:p>
      <w:pPr>
        <w:pStyle w:val="Compact"/>
      </w:pPr>
      <w:r>
        <w:t xml:space="preserve">(#tab:t19-s)</w:t>
      </w:r>
      <w:r>
        <w:t xml:space="preserve">Topic 19,</w:t>
      </w:r>
      <w:r>
        <w:t xml:space="preserve"> </w:t>
      </w:r>
      <w:r>
        <w:rPr>
          <w:i/>
        </w:rPr>
        <w:t xml:space="preserve">social</w:t>
      </w:r>
    </w:p>
    <w:p>
      <w:pPr>
        <w:pStyle w:val="Compact"/>
      </w:pPr>
      <w:r>
        <w:t xml:space="preserve">lambda</w:t>
      </w:r>
    </w:p>
    <w:p>
      <w:pPr>
        <w:pStyle w:val="Compact"/>
      </w:pPr>
      <w:r>
        <w:t xml:space="preserve">Terms</w:t>
      </w:r>
    </w:p>
    <w:p>
      <w:pPr>
        <w:pStyle w:val="Compact"/>
      </w:pPr>
      <w:r>
        <w:t xml:space="preserve">model anchor: twohundredseventynine</w:t>
      </w:r>
    </w:p>
    <w:p>
      <w:pPr>
        <w:pStyle w:val="Compact"/>
      </w:pPr>
      <w:r>
        <w:t xml:space="preserve">0.01</w:t>
      </w:r>
    </w:p>
    <w:p>
      <w:pPr>
        <w:pStyle w:val="Compact"/>
      </w:pPr>
      <w:r>
        <w:t xml:space="preserve">twohundredseventynine, coercive, juridical, sovereignty, Spencer, coercion, Marxs, statical, evolutionary, equilibrium</w:t>
      </w:r>
    </w:p>
    <w:p>
      <w:pPr>
        <w:pStyle w:val="Compact"/>
      </w:pPr>
      <w:r>
        <w:t xml:space="preserve">0.5</w:t>
      </w:r>
    </w:p>
    <w:p>
      <w:pPr>
        <w:pStyle w:val="Compact"/>
      </w:pPr>
      <w:r>
        <w:t xml:space="preserve">social, society, theory, progression, evolution, organization, political, Spencer, nature, development</w:t>
      </w:r>
    </w:p>
    <w:p>
      <w:pPr>
        <w:pStyle w:val="Compact"/>
      </w:pPr>
      <w:r>
        <w:t xml:space="preserve">1</w:t>
      </w:r>
    </w:p>
    <w:p>
      <w:pPr>
        <w:pStyle w:val="Compact"/>
      </w:pPr>
      <w:r>
        <w:t xml:space="preserve">social, society, organization, nature, political, development, theory, law, progression, individual</w:t>
      </w:r>
    </w:p>
    <w:p>
      <w:pPr>
        <w:pStyle w:val="BodyText"/>
      </w:pPr>
      <w:r>
        <w:t xml:space="preserve">Few series from sociology exhibit a decreasing trend, but topic 30,</w:t>
      </w:r>
      <w:r>
        <w:t xml:space="preserve"> </w:t>
      </w:r>
      <w:r>
        <w:rPr>
          <w:i/>
        </w:rPr>
        <w:t xml:space="preserve">church</w:t>
      </w:r>
      <w:r>
        <w:t xml:space="preserve">, is chief among them. It is a very important topic at the beginning of the period then declines rapidly to a low point around 1905 after which it meanders along never recovering its former significance. The concern with religion appears to be narrowly Christian, and it is unclear whether the discourse is about religion or is itself a</w:t>
      </w:r>
      <w:r>
        <w:t xml:space="preserve"> </w:t>
      </w:r>
      <w:r>
        <w:rPr>
          <w:i/>
        </w:rPr>
        <w:t xml:space="preserve">religious discourse</w:t>
      </w:r>
      <w:r>
        <w:t xml:space="preserve">. If the latter then its decline may make more sense as sociology was founded on secular principals.</w:t>
      </w:r>
    </w:p>
    <w:p>
      <w:pPr>
        <w:pStyle w:val="Compact"/>
      </w:pPr>
      <w:r>
        <w:t xml:space="preserve">(#tab:t30-s)</w:t>
      </w:r>
      <w:r>
        <w:t xml:space="preserve">Topic 30,</w:t>
      </w:r>
      <w:r>
        <w:t xml:space="preserve"> </w:t>
      </w:r>
      <w:r>
        <w:rPr>
          <w:i/>
        </w:rPr>
        <w:t xml:space="preserve">church</w:t>
      </w:r>
    </w:p>
    <w:p>
      <w:pPr>
        <w:pStyle w:val="Compact"/>
      </w:pPr>
      <w:r>
        <w:t xml:space="preserve">lambda</w:t>
      </w:r>
    </w:p>
    <w:p>
      <w:pPr>
        <w:pStyle w:val="Compact"/>
      </w:pPr>
      <w:r>
        <w:t xml:space="preserve">Terms</w:t>
      </w:r>
    </w:p>
    <w:p>
      <w:pPr>
        <w:pStyle w:val="Compact"/>
      </w:pPr>
      <w:r>
        <w:t xml:space="preserve">model anchor: situa</w:t>
      </w:r>
    </w:p>
    <w:p>
      <w:pPr>
        <w:pStyle w:val="Compact"/>
      </w:pPr>
      <w:r>
        <w:t xml:space="preserve">0.01</w:t>
      </w:r>
    </w:p>
    <w:p>
      <w:pPr>
        <w:pStyle w:val="Compact"/>
      </w:pPr>
      <w:r>
        <w:t xml:space="preserve">situa, Jesus, Gospel, Christ, church, apostle, preacher, Christian, sect, sectarians</w:t>
      </w:r>
    </w:p>
    <w:p>
      <w:pPr>
        <w:pStyle w:val="Compact"/>
      </w:pPr>
      <w:r>
        <w:t xml:space="preserve">0.5</w:t>
      </w:r>
    </w:p>
    <w:p>
      <w:pPr>
        <w:pStyle w:val="Compact"/>
      </w:pPr>
      <w:r>
        <w:t xml:space="preserve">church, Christian, religion, religiously, Jesus, Gods, Christ, theology, love, ideal</w:t>
      </w:r>
    </w:p>
    <w:p>
      <w:pPr>
        <w:pStyle w:val="Compact"/>
      </w:pPr>
      <w:r>
        <w:t xml:space="preserve">1</w:t>
      </w:r>
    </w:p>
    <w:p>
      <w:pPr>
        <w:pStyle w:val="Compact"/>
      </w:pPr>
      <w:r>
        <w:t xml:space="preserve">church, social, religion, Christian, religiously, men, life, Gods, will, man</w:t>
      </w:r>
    </w:p>
    <w:p>
      <w:pPr>
        <w:pStyle w:val="Heading3"/>
      </w:pPr>
      <w:bookmarkStart w:id="168" w:name="interdisciplinarity"/>
      <w:r>
        <w:t xml:space="preserve">Interdisciplinarity</w:t>
      </w:r>
      <w:bookmarkEnd w:id="168"/>
    </w:p>
    <w:p>
      <w:pPr>
        <w:pStyle w:val="FirstParagraph"/>
      </w:pPr>
      <w:r>
        <w:t xml:space="preserve">Most of the topics that contain a mixture of sociology and anthropology are small in frequency, though there are few exceptions that are larger. A significant one is topic 32,</w:t>
      </w:r>
      <w:r>
        <w:t xml:space="preserve"> </w:t>
      </w:r>
      <w:r>
        <w:rPr>
          <w:i/>
        </w:rPr>
        <w:t xml:space="preserve">literary</w:t>
      </w:r>
      <w:r>
        <w:t xml:space="preserve">, which reflects professional engagement with humanistic fields like English or it may be conversations on the journalism of the day. Apart from a spike in sociology around 1905 the two disciplines participate evenly in this discourse.</w:t>
      </w:r>
    </w:p>
    <w:p>
      <w:pPr>
        <w:pStyle w:val="Compact"/>
      </w:pPr>
      <w:r>
        <w:t xml:space="preserve">(#tab:t32-m)</w:t>
      </w:r>
      <w:r>
        <w:t xml:space="preserve">Topic 32,</w:t>
      </w:r>
      <w:r>
        <w:t xml:space="preserve"> </w:t>
      </w:r>
      <w:r>
        <w:rPr>
          <w:i/>
        </w:rPr>
        <w:t xml:space="preserve">literary</w:t>
      </w:r>
    </w:p>
    <w:p>
      <w:pPr>
        <w:pStyle w:val="Compact"/>
      </w:pPr>
      <w:r>
        <w:t xml:space="preserve">lambda</w:t>
      </w:r>
    </w:p>
    <w:p>
      <w:pPr>
        <w:pStyle w:val="Compact"/>
      </w:pPr>
      <w:r>
        <w:t xml:space="preserve">Terms</w:t>
      </w:r>
    </w:p>
    <w:p>
      <w:pPr>
        <w:pStyle w:val="Compact"/>
      </w:pPr>
      <w:r>
        <w:t xml:space="preserve">model anchor: pool</w:t>
      </w:r>
    </w:p>
    <w:p>
      <w:pPr>
        <w:pStyle w:val="Compact"/>
      </w:pPr>
      <w:r>
        <w:t xml:space="preserve">0.01</w:t>
      </w:r>
    </w:p>
    <w:p>
      <w:pPr>
        <w:pStyle w:val="Compact"/>
      </w:pPr>
      <w:r>
        <w:t xml:space="preserve">pool, literary, Magazine, poems, copy, carded, printed, advertising, bibliographical, editor</w:t>
      </w:r>
    </w:p>
    <w:p>
      <w:pPr>
        <w:pStyle w:val="Compact"/>
      </w:pPr>
      <w:r>
        <w:t xml:space="preserve">0.5</w:t>
      </w:r>
    </w:p>
    <w:p>
      <w:pPr>
        <w:pStyle w:val="Compact"/>
      </w:pPr>
      <w:r>
        <w:t xml:space="preserve">literary, Magazine, published, printed, copy, Chicago, pool, writing, editor, story</w:t>
      </w:r>
    </w:p>
    <w:p>
      <w:pPr>
        <w:pStyle w:val="Compact"/>
      </w:pPr>
      <w:r>
        <w:t xml:space="preserve">1</w:t>
      </w:r>
    </w:p>
    <w:p>
      <w:pPr>
        <w:pStyle w:val="Compact"/>
      </w:pPr>
      <w:r>
        <w:t xml:space="preserve">book, published, one, years, new, periodicity, Chicago, first, interests, literary</w:t>
      </w:r>
    </w:p>
    <w:p>
      <w:pPr>
        <w:pStyle w:val="BodyText"/>
      </w:pPr>
      <w:r>
        <w:t xml:space="preserve">Another smaller mixture is topic 26,</w:t>
      </w:r>
      <w:r>
        <w:t xml:space="preserve"> </w:t>
      </w:r>
      <w:r>
        <w:rPr>
          <w:i/>
        </w:rPr>
        <w:t xml:space="preserve">regular</w:t>
      </w:r>
      <w:r>
        <w:t xml:space="preserve">, which likely refers to professional communications and news around conferences. It is interesting that there is rarely a substantive overlap between disciplines, but that they mirror each other in their metadiscourse around the profession itself. It may be the case that the disciplines looked to each other to replicate patterns of professional association.</w:t>
      </w:r>
    </w:p>
    <w:p>
      <w:pPr>
        <w:pStyle w:val="Compact"/>
      </w:pPr>
      <w:r>
        <w:t xml:space="preserve">(#tab:t26-m)</w:t>
      </w:r>
      <w:r>
        <w:t xml:space="preserve">Topic 26,</w:t>
      </w:r>
      <w:r>
        <w:t xml:space="preserve"> </w:t>
      </w:r>
      <w:r>
        <w:rPr>
          <w:i/>
        </w:rPr>
        <w:t xml:space="preserve">regular</w:t>
      </w:r>
    </w:p>
    <w:p>
      <w:pPr>
        <w:pStyle w:val="Compact"/>
      </w:pPr>
      <w:r>
        <w:t xml:space="preserve">lambda</w:t>
      </w:r>
    </w:p>
    <w:p>
      <w:pPr>
        <w:pStyle w:val="Compact"/>
      </w:pPr>
      <w:r>
        <w:t xml:space="preserve">Terms</w:t>
      </w:r>
    </w:p>
    <w:p>
      <w:pPr>
        <w:pStyle w:val="Compact"/>
      </w:pPr>
      <w:r>
        <w:t xml:space="preserve">model anchor: regular</w:t>
      </w:r>
    </w:p>
    <w:p>
      <w:pPr>
        <w:pStyle w:val="Compact"/>
      </w:pPr>
      <w:r>
        <w:t xml:space="preserve">0.01</w:t>
      </w:r>
    </w:p>
    <w:p>
      <w:pPr>
        <w:pStyle w:val="Compact"/>
      </w:pPr>
      <w:r>
        <w:t xml:space="preserve">regular, sec, Owen, members, membership, shall, mem, cosixperating, executive, society</w:t>
      </w:r>
    </w:p>
    <w:p>
      <w:pPr>
        <w:pStyle w:val="Compact"/>
      </w:pPr>
      <w:r>
        <w:t xml:space="preserve">0.5</w:t>
      </w:r>
    </w:p>
    <w:p>
      <w:pPr>
        <w:pStyle w:val="Compact"/>
      </w:pPr>
      <w:r>
        <w:t xml:space="preserve">regular, members, shall, society, membership, sec, persons, sections, meet, councils</w:t>
      </w:r>
    </w:p>
    <w:p>
      <w:pPr>
        <w:pStyle w:val="Compact"/>
      </w:pPr>
      <w:r>
        <w:t xml:space="preserve">1</w:t>
      </w:r>
    </w:p>
    <w:p>
      <w:pPr>
        <w:pStyle w:val="Compact"/>
      </w:pPr>
      <w:r>
        <w:t xml:space="preserve">society, members, shall, regular, persons, may, organization, one, meet, sections</w:t>
      </w:r>
    </w:p>
    <w:p>
      <w:pPr>
        <w:pStyle w:val="Heading3"/>
      </w:pPr>
      <w:bookmarkStart w:id="169" w:name="better-worse-or-stayed-the-same"/>
      <w:r>
        <w:t xml:space="preserve">Better, worse, or stayed the same</w:t>
      </w:r>
      <w:bookmarkEnd w:id="169"/>
    </w:p>
    <w:p>
      <w:pPr>
        <w:pStyle w:val="FirstParagraph"/>
      </w:pPr>
      <w:r>
        <w:t xml:space="preserve">While the examples above provide some cursory insights into a few of the notable topics, our goals here are not primarily qualitative. We aim to observe how fields waxed and waned in response to larger events in American society, namely the onset and duration of WWI. When inspecting individual time series it is easy to see associations with particular events that may in fact be coincidences, chance occurrences, or trends that are better explained by different happenings. If, however, multiple times series appear to shift at similar times, it is stronger evidence that the momentous event is the one that matters most.</w:t>
      </w:r>
    </w:p>
    <w:p>
      <w:pPr>
        <w:pStyle w:val="BodyText"/>
      </w:pPr>
      <w:r>
        <w:t xml:space="preserve">In this section we take an inductive approach to answering this question. The change point analysis already applied above is well suited to this task. Whereas before we looked for turning points in singular times series, now we may look at all 100 trends simultaneously, one each for sociology and anthropology in each topic. The change point algorithm iteratively explores each annual transition to see whether the mean of the trend is statistically different on either side, and it returns change points only if they pass a threshold of statistical significance.</w:t>
      </w:r>
    </w:p>
    <w:p>
      <w:pPr>
        <w:pStyle w:val="BodyText"/>
      </w:pPr>
      <w:r>
        <w:t xml:space="preserve">Here we set the threshold to a significance level of .99 and feed each topic time series to the change point algorithm, truncating the period of AA that predates the start of AJS to make the disciplines comparable, for a final range of 1895 to 1922. Additionally we may specify the minimum distance between detected points, the smallest interval being two years. We choose this interval to allow the solution to be as granular as the data suggest. Nevertheless this procedure yielded only two significant change points, one in 1902 and one in 1912. The earlier of these is plausibly close to the end of the sowing period of rapid institutional growth, while the second falls only two years before the onset of war.</w:t>
      </w:r>
    </w:p>
    <w:p>
      <w:pPr>
        <w:pStyle w:val="BodyText"/>
      </w:pPr>
      <w:r>
        <w:t xml:space="preserve">We take these findings of two change points as some support or our central argument that the historical context matters. What remains to be seen is how the history mattered. To address this question for the onset of war we classify the trends into categories of the direction of change before and after the change point. The possibilities were that a trend could slow down, speed up, or stay the same. To model these effects we apply a robust regression using a spline term with knots set to our change points. This model produces a linear effect in the periods between the change points that is also constrained to intersect at the knots such that the predicted trend is continuous.</w:t>
      </w:r>
    </w:p>
    <w:p>
      <w:pPr>
        <w:pStyle w:val="BodyText"/>
      </w:pPr>
      <w:r>
        <w:t xml:space="preserve">Table</w:t>
      </w:r>
      <w:r>
        <w:t xml:space="preserve"> </w:t>
      </w:r>
      <w:r>
        <w:t xml:space="preserve">33</w:t>
      </w:r>
      <w:r>
        <w:t xml:space="preserve"> </w:t>
      </w:r>
      <w:r>
        <w:t xml:space="preserve">reports the distribution of the two disciplines according to these three possibilities. In the right margin it can be observed that the majority times series exhibited no change in trend. Some of this effect is owed to the large number of series that are essentially off for one or the other discipline, hence a flat trend near zero for the entire period. The negative and positive numbers are more revealing. In the aggregate there are more than twice as many negative changes as there are positive changes. This is consistent with the expectation that war would have a depressive effect on organizational output especially where that organization, social science scholarship, is not understood to be immediately relevant to the war effort. Simply, attention shifted elsewhere.</w:t>
      </w:r>
    </w:p>
    <w:p>
      <w:pPr>
        <w:pStyle w:val="BodyText"/>
      </w:pPr>
      <w:r>
        <w:t xml:space="preserve">Within disciplines there are considerable differences. The AA series were more likely to stay on an even trajectory, whereas the AJS series were more likely to experience especially negative change. It should be noted here that what we are measuring is the change in the slope of the line before and after 1912. A series that is already sloping downward will be classed as a positive change if the decline abates to a shallower trend, even if the trend is still down. Any trend that stays on its former path, whether increasing or decreasing, will be classed as not changing.</w:t>
      </w:r>
    </w:p>
    <w:p>
      <w:pPr>
        <w:pStyle w:val="Compact"/>
      </w:pPr>
      <w:r>
        <w:t xml:space="preserve">(#tab:chnsum)</w:t>
      </w:r>
      <w:r>
        <w:t xml:space="preserve">Proportion of topic time series by discipline and change in slope in 1912 ahead of WWI</w:t>
      </w:r>
    </w:p>
    <w:p>
      <w:pPr>
        <w:pStyle w:val="Compact"/>
      </w:pPr>
      <w:r>
        <w:t xml:space="preserve">Δ Slope</w:t>
      </w:r>
    </w:p>
    <w:p>
      <w:pPr>
        <w:pStyle w:val="Compact"/>
      </w:pPr>
      <w:r>
        <w:t xml:space="preserve">Anthropology</w:t>
      </w:r>
    </w:p>
    <w:p>
      <w:pPr>
        <w:pStyle w:val="Compact"/>
      </w:pPr>
      <w:r>
        <w:t xml:space="preserve">Sociology</w:t>
      </w:r>
    </w:p>
    <w:p>
      <w:pPr>
        <w:pStyle w:val="Compact"/>
      </w:pPr>
      <w:r>
        <w:t xml:space="preserve">Total</w:t>
      </w:r>
    </w:p>
    <w:p>
      <w:pPr>
        <w:pStyle w:val="Compact"/>
      </w:pPr>
      <w:r>
        <w:t xml:space="preserve">Negative</w:t>
      </w:r>
    </w:p>
    <w:p>
      <w:pPr>
        <w:pStyle w:val="Compact"/>
      </w:pPr>
      <w:r>
        <w:t xml:space="preserve">0.08</w:t>
      </w:r>
    </w:p>
    <w:p>
      <w:pPr>
        <w:pStyle w:val="Compact"/>
      </w:pPr>
      <w:r>
        <w:t xml:space="preserve">0.13</w:t>
      </w:r>
    </w:p>
    <w:p>
      <w:pPr>
        <w:pStyle w:val="Compact"/>
      </w:pPr>
      <w:r>
        <w:t xml:space="preserve">0.21</w:t>
      </w:r>
    </w:p>
    <w:p>
      <w:pPr>
        <w:pStyle w:val="Compact"/>
      </w:pPr>
      <w:r>
        <w:t xml:space="preserve">No change</w:t>
      </w:r>
    </w:p>
    <w:p>
      <w:pPr>
        <w:pStyle w:val="Compact"/>
      </w:pPr>
      <w:r>
        <w:t xml:space="preserve">0.41</w:t>
      </w:r>
    </w:p>
    <w:p>
      <w:pPr>
        <w:pStyle w:val="Compact"/>
      </w:pPr>
      <w:r>
        <w:t xml:space="preserve">0.3</w:t>
      </w:r>
    </w:p>
    <w:p>
      <w:pPr>
        <w:pStyle w:val="Compact"/>
      </w:pPr>
      <w:r>
        <w:t xml:space="preserve">0.71</w:t>
      </w:r>
    </w:p>
    <w:p>
      <w:pPr>
        <w:pStyle w:val="Compact"/>
      </w:pPr>
      <w:r>
        <w:t xml:space="preserve">Positive</w:t>
      </w:r>
    </w:p>
    <w:p>
      <w:pPr>
        <w:pStyle w:val="Compact"/>
      </w:pPr>
      <w:r>
        <w:t xml:space="preserve">0.01</w:t>
      </w:r>
    </w:p>
    <w:p>
      <w:pPr>
        <w:pStyle w:val="Compact"/>
      </w:pPr>
      <w:r>
        <w:t xml:space="preserve">0.07</w:t>
      </w:r>
    </w:p>
    <w:p>
      <w:pPr>
        <w:pStyle w:val="Compact"/>
      </w:pPr>
      <w:r>
        <w:t xml:space="preserve">0.08</w:t>
      </w:r>
    </w:p>
    <w:p>
      <w:pPr>
        <w:pStyle w:val="Compact"/>
      </w:pPr>
      <w:r>
        <w:t xml:space="preserve">Total</w:t>
      </w:r>
    </w:p>
    <w:p>
      <w:pPr>
        <w:pStyle w:val="Compact"/>
      </w:pPr>
      <w:r>
        <w:t xml:space="preserve">0.5</w:t>
      </w:r>
    </w:p>
    <w:p>
      <w:pPr>
        <w:pStyle w:val="Compact"/>
      </w:pPr>
      <w:r>
        <w:t xml:space="preserve">0.5</w:t>
      </w:r>
    </w:p>
    <w:p>
      <w:pPr>
        <w:pStyle w:val="Compact"/>
      </w:pPr>
      <w:r>
        <w:t xml:space="preserve">1</w:t>
      </w:r>
    </w:p>
    <w:p>
      <w:pPr>
        <w:pStyle w:val="BodyText"/>
      </w:pPr>
      <w:r>
        <w:t xml:space="preserve">Figure</w:t>
      </w:r>
      <w:r>
        <w:t xml:space="preserve"> </w:t>
      </w:r>
      <w:r>
        <w:t xml:space="preserve">47</w:t>
      </w:r>
      <w:r>
        <w:t xml:space="preserve"> </w:t>
      </w:r>
      <w:r>
        <w:t xml:space="preserve">illustrates the four trends with the biggest downward shifts in absolute terms. This means that the larger a series, the less it need decline to register a change, and the smaller the more significantly it needs to change to appear.</w:t>
      </w:r>
    </w:p>
    <w:p>
      <w:pPr>
        <w:pStyle w:val="CaptionedFigure"/>
      </w:pPr>
      <w:r>
        <w:drawing>
          <wp:inline>
            <wp:extent cx="4620126" cy="3696101"/>
            <wp:effectExtent b="0" l="0" r="0" t="0"/>
            <wp:docPr descr="Figure 47 Cases that slow down before WWI" title="" id="1" name="Picture"/>
            <a:graphic>
              <a:graphicData uri="http://schemas.openxmlformats.org/drawingml/2006/picture">
                <pic:pic>
                  <pic:nvPicPr>
                    <pic:cNvPr descr="04_files/figure-docx/slwdwn-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47 Cases that slow down before WWI</w:t>
      </w:r>
    </w:p>
    <w:p>
      <w:pPr>
        <w:pStyle w:val="BodyText"/>
      </w:pPr>
      <w:r>
        <w:t xml:space="preserve">A large trend that experiences a measurable decline for AJS is topic 12,</w:t>
      </w:r>
      <w:r>
        <w:t xml:space="preserve"> </w:t>
      </w:r>
      <w:r>
        <w:rPr>
          <w:i/>
        </w:rPr>
        <w:t xml:space="preserve">book</w:t>
      </w:r>
      <w:r>
        <w:t xml:space="preserve">. It appears to be the contextual words that describe book reviews. If this topic represents a measure of the count of book reviews, a decline may reflect a momentary drop in book publishing or a shift in attention away from books. AA, which also contains book reviews, does not experience a slow down and in fact remains on an upward trend, even seeing a boost during the war.</w:t>
      </w:r>
    </w:p>
    <w:p>
      <w:pPr>
        <w:pStyle w:val="Compact"/>
      </w:pPr>
      <w:r>
        <w:t xml:space="preserve">(#tab:t12-h)</w:t>
      </w:r>
      <w:r>
        <w:t xml:space="preserve">Topic 12,</w:t>
      </w:r>
      <w:r>
        <w:t xml:space="preserve"> </w:t>
      </w:r>
      <w:r>
        <w:rPr>
          <w:i/>
        </w:rPr>
        <w:t xml:space="preserve">book</w:t>
      </w:r>
    </w:p>
    <w:p>
      <w:pPr>
        <w:pStyle w:val="Compact"/>
      </w:pPr>
      <w:r>
        <w:t xml:space="preserve">lambda</w:t>
      </w:r>
    </w:p>
    <w:p>
      <w:pPr>
        <w:pStyle w:val="Compact"/>
      </w:pPr>
      <w:r>
        <w:t xml:space="preserve">Terms</w:t>
      </w:r>
    </w:p>
    <w:p>
      <w:pPr>
        <w:pStyle w:val="Compact"/>
      </w:pPr>
      <w:r>
        <w:t xml:space="preserve">model anchor: aboutjstororg</w:t>
      </w:r>
    </w:p>
    <w:p>
      <w:pPr>
        <w:pStyle w:val="Compact"/>
      </w:pPr>
      <w:r>
        <w:t xml:space="preserve">0.01</w:t>
      </w:r>
    </w:p>
    <w:p>
      <w:pPr>
        <w:pStyle w:val="Compact"/>
      </w:pPr>
      <w:r>
        <w:t xml:space="preserve">aboutjstororg, chapter, preface, book, readers, volume, Treatise, review, beginners, authority</w:t>
      </w:r>
    </w:p>
    <w:p>
      <w:pPr>
        <w:pStyle w:val="Compact"/>
      </w:pPr>
      <w:r>
        <w:t xml:space="preserve">0.5</w:t>
      </w:r>
    </w:p>
    <w:p>
      <w:pPr>
        <w:pStyle w:val="Compact"/>
      </w:pPr>
      <w:r>
        <w:t xml:space="preserve">book, authority, chapter, volume, review, discussion, readers, aboutjstororg, criticism, Journal</w:t>
      </w:r>
    </w:p>
    <w:p>
      <w:pPr>
        <w:pStyle w:val="Compact"/>
      </w:pPr>
      <w:r>
        <w:t xml:space="preserve">1</w:t>
      </w:r>
    </w:p>
    <w:p>
      <w:pPr>
        <w:pStyle w:val="Compact"/>
      </w:pPr>
      <w:r>
        <w:t xml:space="preserve">book, authority, chapter, Work, volume, discussion, review, present, study, American</w:t>
      </w:r>
    </w:p>
    <w:p>
      <w:pPr>
        <w:pStyle w:val="BodyText"/>
      </w:pPr>
      <w:r>
        <w:t xml:space="preserve">Topic 17,</w:t>
      </w:r>
      <w:r>
        <w:t xml:space="preserve"> </w:t>
      </w:r>
      <w:r>
        <w:rPr>
          <w:i/>
        </w:rPr>
        <w:t xml:space="preserve">meet</w:t>
      </w:r>
      <w:r>
        <w:t xml:space="preserve">, is a smaller AA series that experiences a nose dive during the war. It seems to refer to terms around conferences and meetings. If this is an indication of real conference activity rather than merely its advertisement, it is surprising to think that there would be a decline in professional association for anthropologists during this time. Sociology turns the other way, increasing its mentions of meetings.</w:t>
      </w:r>
    </w:p>
    <w:p>
      <w:pPr>
        <w:pStyle w:val="Compact"/>
      </w:pPr>
      <w:r>
        <w:t xml:space="preserve">(#tab:t17-h)</w:t>
      </w:r>
      <w:r>
        <w:t xml:space="preserve">Topic 17,</w:t>
      </w:r>
      <w:r>
        <w:t xml:space="preserve"> </w:t>
      </w:r>
      <w:r>
        <w:rPr>
          <w:i/>
        </w:rPr>
        <w:t xml:space="preserve">meet</w:t>
      </w:r>
    </w:p>
    <w:p>
      <w:pPr>
        <w:pStyle w:val="Compact"/>
      </w:pPr>
      <w:r>
        <w:t xml:space="preserve">lambda</w:t>
      </w:r>
    </w:p>
    <w:p>
      <w:pPr>
        <w:pStyle w:val="Compact"/>
      </w:pPr>
      <w:r>
        <w:t xml:space="preserve">Terms</w:t>
      </w:r>
    </w:p>
    <w:p>
      <w:pPr>
        <w:pStyle w:val="Compact"/>
      </w:pPr>
      <w:r>
        <w:t xml:space="preserve">model anchor: subscription</w:t>
      </w:r>
    </w:p>
    <w:p>
      <w:pPr>
        <w:pStyle w:val="Compact"/>
      </w:pPr>
      <w:r>
        <w:t xml:space="preserve">0.01</w:t>
      </w:r>
    </w:p>
    <w:p>
      <w:pPr>
        <w:pStyle w:val="Compact"/>
      </w:pPr>
      <w:r>
        <w:t xml:space="preserve">subscription, MACCURDY, FLETCHER, Chairman, GODDARD, chair, Secretary, President, Hodges, Franz</w:t>
      </w:r>
    </w:p>
    <w:p>
      <w:pPr>
        <w:pStyle w:val="Compact"/>
      </w:pPr>
      <w:r>
        <w:t xml:space="preserve">0.5</w:t>
      </w:r>
    </w:p>
    <w:p>
      <w:pPr>
        <w:pStyle w:val="Compact"/>
      </w:pPr>
      <w:r>
        <w:t xml:space="preserve">meet, Anthropological, President, Committee, Secretary, paper, American, Boas, MACCURDY, chair</w:t>
      </w:r>
    </w:p>
    <w:p>
      <w:pPr>
        <w:pStyle w:val="Compact"/>
      </w:pPr>
      <w:r>
        <w:t xml:space="preserve">1</w:t>
      </w:r>
    </w:p>
    <w:p>
      <w:pPr>
        <w:pStyle w:val="Compact"/>
      </w:pPr>
      <w:r>
        <w:t xml:space="preserve">American, meet, Anthropological, President, paper, society, Committee, Secretary, professor, ANTHROPOLOGIST</w:t>
      </w:r>
    </w:p>
    <w:p>
      <w:pPr>
        <w:pStyle w:val="BodyText"/>
      </w:pPr>
      <w:r>
        <w:t xml:space="preserve">Topic 38,</w:t>
      </w:r>
      <w:r>
        <w:t xml:space="preserve"> </w:t>
      </w:r>
      <w:r>
        <w:rPr>
          <w:i/>
        </w:rPr>
        <w:t xml:space="preserve">things</w:t>
      </w:r>
      <w:r>
        <w:t xml:space="preserve">, is a sociology series that is more difficult to interpret but may be a social theory topic including American pragmatism. Its upward trend was arrested to the point of nearly flattening out, as if theoretical concerns were less satisfying given the practical demands of the war years.</w:t>
      </w:r>
    </w:p>
    <w:p>
      <w:pPr>
        <w:pStyle w:val="Compact"/>
      </w:pPr>
      <w:r>
        <w:t xml:space="preserve">(#tab:t38-h)</w:t>
      </w:r>
      <w:r>
        <w:t xml:space="preserve">Topic 38,</w:t>
      </w:r>
      <w:r>
        <w:t xml:space="preserve"> </w:t>
      </w:r>
      <w:r>
        <w:rPr>
          <w:i/>
        </w:rPr>
        <w:t xml:space="preserve">things</w:t>
      </w:r>
    </w:p>
    <w:p>
      <w:pPr>
        <w:pStyle w:val="Compact"/>
      </w:pPr>
      <w:r>
        <w:t xml:space="preserve">lambda</w:t>
      </w:r>
    </w:p>
    <w:p>
      <w:pPr>
        <w:pStyle w:val="Compact"/>
      </w:pPr>
      <w:r>
        <w:t xml:space="preserve">Terms</w:t>
      </w:r>
    </w:p>
    <w:p>
      <w:pPr>
        <w:pStyle w:val="Compact"/>
      </w:pPr>
      <w:r>
        <w:t xml:space="preserve">model anchor: pragmatic</w:t>
      </w:r>
    </w:p>
    <w:p>
      <w:pPr>
        <w:pStyle w:val="Compact"/>
      </w:pPr>
      <w:r>
        <w:t xml:space="preserve">0.01</w:t>
      </w:r>
    </w:p>
    <w:p>
      <w:pPr>
        <w:pStyle w:val="Compact"/>
      </w:pPr>
      <w:r>
        <w:t xml:space="preserve">pragmatic, somehow, creative, context, commonplace, truth, moralist, Paradoxes, satisfaction, absurdities</w:t>
      </w:r>
    </w:p>
    <w:p>
      <w:pPr>
        <w:pStyle w:val="Compact"/>
      </w:pPr>
      <w:r>
        <w:t xml:space="preserve">0.5</w:t>
      </w:r>
    </w:p>
    <w:p>
      <w:pPr>
        <w:pStyle w:val="Compact"/>
      </w:pPr>
      <w:r>
        <w:t xml:space="preserve">things, can, human, must, think, will, life, mind, may, world</w:t>
      </w:r>
    </w:p>
    <w:p>
      <w:pPr>
        <w:pStyle w:val="Compact"/>
      </w:pPr>
      <w:r>
        <w:t xml:space="preserve">1</w:t>
      </w:r>
    </w:p>
    <w:p>
      <w:pPr>
        <w:pStyle w:val="Compact"/>
      </w:pPr>
      <w:r>
        <w:t xml:space="preserve">will, one, may, can, must, human, life, man, things, nature</w:t>
      </w:r>
    </w:p>
    <w:p>
      <w:pPr>
        <w:pStyle w:val="BodyText"/>
      </w:pPr>
      <w:r>
        <w:t xml:space="preserve">Topic 39,</w:t>
      </w:r>
      <w:r>
        <w:t xml:space="preserve"> </w:t>
      </w:r>
      <w:r>
        <w:rPr>
          <w:i/>
        </w:rPr>
        <w:t xml:space="preserve">primitive</w:t>
      </w:r>
      <w:r>
        <w:t xml:space="preserve">, represents a bigger topic that is actually mixed, and that exhibits a big downturn for sociology during the war but an upturn for anthropology. The concerns with magic likely dovetail with Durkheim’s</w:t>
      </w:r>
      <w:r>
        <w:t xml:space="preserve"> </w:t>
      </w:r>
      <w:r>
        <w:rPr>
          <w:i/>
        </w:rPr>
        <w:t xml:space="preserve">The Elementary Forms of Religious Life</w:t>
      </w:r>
      <w:r>
        <w:t xml:space="preserve"> </w:t>
      </w:r>
      <w:r>
        <w:t xml:space="preserve">(Durkheim</w:t>
      </w:r>
      <w:r>
        <w:t xml:space="preserve"> </w:t>
      </w:r>
      <w:hyperlink w:anchor="ref-Durkheim1915Elementary">
        <w:r>
          <w:rPr>
            <w:rStyle w:val="Hyperlink"/>
          </w:rPr>
          <w:t xml:space="preserve">1915</w:t>
        </w:r>
      </w:hyperlink>
      <w:r>
        <w:t xml:space="preserve">)</w:t>
      </w:r>
      <w:r>
        <w:t xml:space="preserve"> </w:t>
      </w:r>
      <w:r>
        <w:t xml:space="preserve">which was current at the time and a rare bridge between the two disciplines.</w:t>
      </w:r>
    </w:p>
    <w:p>
      <w:pPr>
        <w:pStyle w:val="Compact"/>
      </w:pPr>
      <w:r>
        <w:t xml:space="preserve">(#tab:t39-h)</w:t>
      </w:r>
      <w:r>
        <w:t xml:space="preserve">Topic 39,</w:t>
      </w:r>
      <w:r>
        <w:t xml:space="preserve"> </w:t>
      </w:r>
      <w:r>
        <w:rPr>
          <w:i/>
        </w:rPr>
        <w:t xml:space="preserve">primitive</w:t>
      </w:r>
    </w:p>
    <w:p>
      <w:pPr>
        <w:pStyle w:val="Compact"/>
      </w:pPr>
      <w:r>
        <w:t xml:space="preserve">lambda</w:t>
      </w:r>
    </w:p>
    <w:p>
      <w:pPr>
        <w:pStyle w:val="Compact"/>
      </w:pPr>
      <w:r>
        <w:t xml:space="preserve">Terms</w:t>
      </w:r>
    </w:p>
    <w:p>
      <w:pPr>
        <w:pStyle w:val="Compact"/>
      </w:pPr>
      <w:r>
        <w:t xml:space="preserve">model anchor: twohundredninetyeight</w:t>
      </w:r>
    </w:p>
    <w:p>
      <w:pPr>
        <w:pStyle w:val="Compact"/>
      </w:pPr>
      <w:r>
        <w:t xml:space="preserve">0.01</w:t>
      </w:r>
    </w:p>
    <w:p>
      <w:pPr>
        <w:pStyle w:val="Compact"/>
      </w:pPr>
      <w:r>
        <w:t xml:space="preserve">twohundredninetyeight, Israel, savagery, Homer, primeval, biblical, potency, magical, barbarism, ghosts</w:t>
      </w:r>
    </w:p>
    <w:p>
      <w:pPr>
        <w:pStyle w:val="Compact"/>
      </w:pPr>
      <w:r>
        <w:t xml:space="preserve">0.5</w:t>
      </w:r>
    </w:p>
    <w:p>
      <w:pPr>
        <w:pStyle w:val="Compact"/>
      </w:pPr>
      <w:r>
        <w:t xml:space="preserve">primitive, Israel, savage, magical, stage, culture, man, savagery, body, worship</w:t>
      </w:r>
    </w:p>
    <w:p>
      <w:pPr>
        <w:pStyle w:val="Compact"/>
      </w:pPr>
      <w:r>
        <w:t xml:space="preserve">1</w:t>
      </w:r>
    </w:p>
    <w:p>
      <w:pPr>
        <w:pStyle w:val="Compact"/>
      </w:pPr>
      <w:r>
        <w:t xml:space="preserve">man, primitive, may, human, culture, nature, time, development, world, body</w:t>
      </w:r>
    </w:p>
    <w:p>
      <w:r>
        <w:pict>
          <v:rect style="width:0;height:1.5pt" o:hralign="center" o:hrstd="t" o:hr="t"/>
        </w:pict>
      </w:r>
    </w:p>
    <w:p>
      <w:pPr>
        <w:pStyle w:val="CaptionedFigure"/>
      </w:pPr>
      <w:r>
        <w:drawing>
          <wp:inline>
            <wp:extent cx="4620126" cy="3696101"/>
            <wp:effectExtent b="0" l="0" r="0" t="0"/>
            <wp:docPr descr="Figure 48 Cases that speed up before WWI" title="" id="1" name="Picture"/>
            <a:graphic>
              <a:graphicData uri="http://schemas.openxmlformats.org/drawingml/2006/picture">
                <pic:pic>
                  <pic:nvPicPr>
                    <pic:cNvPr descr="04_files/figure-docx/spdup-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48 Cases that speed up before WWI</w:t>
      </w:r>
    </w:p>
    <w:p>
      <w:pPr>
        <w:pStyle w:val="BodyText"/>
      </w:pPr>
      <w:r>
        <w:t xml:space="preserve">Figure</w:t>
      </w:r>
      <w:r>
        <w:t xml:space="preserve"> </w:t>
      </w:r>
      <w:r>
        <w:t xml:space="preserve">48</w:t>
      </w:r>
      <w:r>
        <w:t xml:space="preserve"> </w:t>
      </w:r>
      <w:r>
        <w:t xml:space="preserve">highlights four topics that experience a positive change, and indeed the differences before and after 1912 seem to be more dramatic than in the cases of slowing down. The sociology topic 13,</w:t>
      </w:r>
      <w:r>
        <w:t xml:space="preserve"> </w:t>
      </w:r>
      <w:r>
        <w:rPr>
          <w:i/>
        </w:rPr>
        <w:t xml:space="preserve">Science</w:t>
      </w:r>
      <w:r>
        <w:t xml:space="preserve">, relates to theories of psychology and consciousness and may be a precursor to phenomenology.</w:t>
      </w:r>
    </w:p>
    <w:p>
      <w:pPr>
        <w:pStyle w:val="Compact"/>
      </w:pPr>
      <w:r>
        <w:t xml:space="preserve">(#tab:t13-h)</w:t>
      </w:r>
      <w:r>
        <w:t xml:space="preserve">Topic 13,</w:t>
      </w:r>
      <w:r>
        <w:t xml:space="preserve"> </w:t>
      </w:r>
      <w:r>
        <w:rPr>
          <w:i/>
        </w:rPr>
        <w:t xml:space="preserve">Science</w:t>
      </w:r>
    </w:p>
    <w:p>
      <w:pPr>
        <w:pStyle w:val="Compact"/>
      </w:pPr>
      <w:r>
        <w:t xml:space="preserve">lambda</w:t>
      </w:r>
    </w:p>
    <w:p>
      <w:pPr>
        <w:pStyle w:val="Compact"/>
      </w:pPr>
      <w:r>
        <w:t xml:space="preserve">Terms</w:t>
      </w:r>
    </w:p>
    <w:p>
      <w:pPr>
        <w:pStyle w:val="Compact"/>
      </w:pPr>
      <w:r>
        <w:t xml:space="preserve">model anchor: antithesis</w:t>
      </w:r>
    </w:p>
    <w:p>
      <w:pPr>
        <w:pStyle w:val="Compact"/>
      </w:pPr>
      <w:r>
        <w:t xml:space="preserve">0.01</w:t>
      </w:r>
    </w:p>
    <w:p>
      <w:pPr>
        <w:pStyle w:val="Compact"/>
      </w:pPr>
      <w:r>
        <w:t xml:space="preserve">antithesis, Simmel, nomena, phenomena, phe, Wundt, methodology, Durkheim, psychic, causal</w:t>
      </w:r>
    </w:p>
    <w:p>
      <w:pPr>
        <w:pStyle w:val="Compact"/>
      </w:pPr>
      <w:r>
        <w:t xml:space="preserve">0.5</w:t>
      </w:r>
    </w:p>
    <w:p>
      <w:pPr>
        <w:pStyle w:val="Compact"/>
      </w:pPr>
      <w:r>
        <w:t xml:space="preserve">Science, sociological, phenomena, social, Psychology, sociologists, process, psychic, consciousness, conception</w:t>
      </w:r>
    </w:p>
    <w:p>
      <w:pPr>
        <w:pStyle w:val="Compact"/>
      </w:pPr>
      <w:r>
        <w:t xml:space="preserve">1</w:t>
      </w:r>
    </w:p>
    <w:p>
      <w:pPr>
        <w:pStyle w:val="Compact"/>
      </w:pPr>
      <w:r>
        <w:t xml:space="preserve">social, Science, sociological, fact, process, Psychology, may, phenomena, individual, human</w:t>
      </w:r>
    </w:p>
    <w:p>
      <w:pPr>
        <w:pStyle w:val="BodyText"/>
      </w:pPr>
      <w:r>
        <w:t xml:space="preserve">Topic 22,</w:t>
      </w:r>
      <w:r>
        <w:t xml:space="preserve"> </w:t>
      </w:r>
      <w:r>
        <w:rPr>
          <w:i/>
        </w:rPr>
        <w:t xml:space="preserve">wars</w:t>
      </w:r>
      <w:r>
        <w:t xml:space="preserve">, is the largest topic in sociology and seems to coincide closely with WWI, though terms suggesting a concern with civil unrest may predate the concern with militarism. It may reflect a broader interest in social problems relevant to political democracy, including the problems of industrialization and nation building. Its trend was insignificant until 1910 at which point it started a precipitous rise that continued unabated through WWI.</w:t>
      </w:r>
    </w:p>
    <w:p>
      <w:pPr>
        <w:pStyle w:val="Compact"/>
      </w:pPr>
      <w:r>
        <w:t xml:space="preserve">(#tab:t22-h)</w:t>
      </w:r>
      <w:r>
        <w:t xml:space="preserve">Topic 22,</w:t>
      </w:r>
      <w:r>
        <w:t xml:space="preserve"> </w:t>
      </w:r>
      <w:r>
        <w:rPr>
          <w:i/>
        </w:rPr>
        <w:t xml:space="preserve">wars</w:t>
      </w:r>
    </w:p>
    <w:p>
      <w:pPr>
        <w:pStyle w:val="Compact"/>
      </w:pPr>
      <w:r>
        <w:t xml:space="preserve">lambda</w:t>
      </w:r>
    </w:p>
    <w:p>
      <w:pPr>
        <w:pStyle w:val="Compact"/>
      </w:pPr>
      <w:r>
        <w:t xml:space="preserve">Terms</w:t>
      </w:r>
    </w:p>
    <w:p>
      <w:pPr>
        <w:pStyle w:val="Compact"/>
      </w:pPr>
      <w:r>
        <w:t xml:space="preserve">model anchor: Ininehundredtwenty</w:t>
      </w:r>
    </w:p>
    <w:p>
      <w:pPr>
        <w:pStyle w:val="Compact"/>
      </w:pPr>
      <w:r>
        <w:t xml:space="preserve">0.01</w:t>
      </w:r>
    </w:p>
    <w:p>
      <w:pPr>
        <w:pStyle w:val="Compact"/>
      </w:pPr>
      <w:r>
        <w:t xml:space="preserve">Ininehundredtwenty, InineIfour, Inineisix, democracy, unrest, crippled, democ, program, Militarism, Pittsburgh</w:t>
      </w:r>
    </w:p>
    <w:p>
      <w:pPr>
        <w:pStyle w:val="Compact"/>
      </w:pPr>
      <w:r>
        <w:t xml:space="preserve">0.5</w:t>
      </w:r>
    </w:p>
    <w:p>
      <w:pPr>
        <w:pStyle w:val="Compact"/>
      </w:pPr>
      <w:r>
        <w:t xml:space="preserve">wars, democracy, nations, York, new, program, problem, health, social, industry</w:t>
      </w:r>
    </w:p>
    <w:p>
      <w:pPr>
        <w:pStyle w:val="Compact"/>
      </w:pPr>
      <w:r>
        <w:t xml:space="preserve">1</w:t>
      </w:r>
    </w:p>
    <w:p>
      <w:pPr>
        <w:pStyle w:val="Compact"/>
      </w:pPr>
      <w:r>
        <w:t xml:space="preserve">social, wars, new, nations, American, problem, York, State, industry, democracy</w:t>
      </w:r>
    </w:p>
    <w:p>
      <w:pPr>
        <w:pStyle w:val="BodyText"/>
      </w:pPr>
      <w:r>
        <w:t xml:space="preserve">Topic 3,</w:t>
      </w:r>
      <w:r>
        <w:t xml:space="preserve"> </w:t>
      </w:r>
      <w:r>
        <w:rPr>
          <w:i/>
        </w:rPr>
        <w:t xml:space="preserve">ceremony</w:t>
      </w:r>
      <w:r>
        <w:t xml:space="preserve">, is an anthropology trend with an interesting pattern. Though it swings upward during WWI, this is due in part to the decline of an earlier ascent in the sowing period. The topic relates to the ceremony and ritual of Hopi civilization of the American southwest, of which Tusayan and Zufii were two important sites. It is possible that this series represents two generations of scholarship into this work, as its popularity waned soon enough to wax again a decade after its original prominence.</w:t>
      </w:r>
    </w:p>
    <w:p>
      <w:pPr>
        <w:pStyle w:val="Compact"/>
      </w:pPr>
      <w:r>
        <w:t xml:space="preserve">(#tab:t3-h)</w:t>
      </w:r>
      <w:r>
        <w:t xml:space="preserve">Topic 3,</w:t>
      </w:r>
      <w:r>
        <w:t xml:space="preserve"> </w:t>
      </w:r>
      <w:r>
        <w:rPr>
          <w:i/>
        </w:rPr>
        <w:t xml:space="preserve">ceremony</w:t>
      </w:r>
    </w:p>
    <w:p>
      <w:pPr>
        <w:pStyle w:val="Compact"/>
      </w:pPr>
      <w:r>
        <w:t xml:space="preserve">lambda</w:t>
      </w:r>
    </w:p>
    <w:p>
      <w:pPr>
        <w:pStyle w:val="Compact"/>
      </w:pPr>
      <w:r>
        <w:t xml:space="preserve">Terms</w:t>
      </w:r>
    </w:p>
    <w:p>
      <w:pPr>
        <w:pStyle w:val="Compact"/>
      </w:pPr>
      <w:r>
        <w:t xml:space="preserve">model anchor: Tusayan</w:t>
      </w:r>
    </w:p>
    <w:p>
      <w:pPr>
        <w:pStyle w:val="Compact"/>
      </w:pPr>
      <w:r>
        <w:t xml:space="preserve">0.01</w:t>
      </w:r>
    </w:p>
    <w:p>
      <w:pPr>
        <w:pStyle w:val="Compact"/>
      </w:pPr>
      <w:r>
        <w:t xml:space="preserve">Tusayan, Hopi, shrines, Zufii, altar, flute, PLUME, paraphernalia, snake, pictographic</w:t>
      </w:r>
    </w:p>
    <w:p>
      <w:pPr>
        <w:pStyle w:val="Compact"/>
      </w:pPr>
      <w:r>
        <w:t xml:space="preserve">0.5</w:t>
      </w:r>
    </w:p>
    <w:p>
      <w:pPr>
        <w:pStyle w:val="Compact"/>
      </w:pPr>
      <w:r>
        <w:t xml:space="preserve">ceremony, Hopi, Zufii, pueblo, symbol, snake, altar, Tusayan, shrines, dances</w:t>
      </w:r>
    </w:p>
    <w:p>
      <w:pPr>
        <w:pStyle w:val="Compact"/>
      </w:pPr>
      <w:r>
        <w:t xml:space="preserve">1</w:t>
      </w:r>
    </w:p>
    <w:p>
      <w:pPr>
        <w:pStyle w:val="Compact"/>
      </w:pPr>
      <w:r>
        <w:t xml:space="preserve">ceremony, symbol, pueblo, Hopi, one, dances, Gods, clans, calls, two</w:t>
      </w:r>
    </w:p>
    <w:p>
      <w:pPr>
        <w:pStyle w:val="BodyText"/>
      </w:pPr>
      <w:r>
        <w:t xml:space="preserve">Topic 46,</w:t>
      </w:r>
      <w:r>
        <w:t xml:space="preserve"> </w:t>
      </w:r>
      <w:r>
        <w:rPr>
          <w:i/>
        </w:rPr>
        <w:t xml:space="preserve">schools</w:t>
      </w:r>
      <w:r>
        <w:t xml:space="preserve">, is large and resembles</w:t>
      </w:r>
      <w:r>
        <w:t xml:space="preserve"> </w:t>
      </w:r>
      <w:r>
        <w:rPr>
          <w:i/>
        </w:rPr>
        <w:t xml:space="preserve">wars</w:t>
      </w:r>
      <w:r>
        <w:t xml:space="preserve"> </w:t>
      </w:r>
      <w:r>
        <w:t xml:space="preserve">in its rapid growth before and during the war. Not merely limited to education, the topic appears to refer to rural sociology, which was organized as a semi-autonomous profession specializing in the social and economic challenges of small towns, and which was often a counterpoint to the emphasis on the study of cities represented by the epicenter of sociology at the University of Chicago, where AJS itself was published.</w:t>
      </w:r>
    </w:p>
    <w:p>
      <w:pPr>
        <w:pStyle w:val="Compact"/>
      </w:pPr>
      <w:r>
        <w:t xml:space="preserve">(#tab:t46-h)</w:t>
      </w:r>
      <w:r>
        <w:t xml:space="preserve">Topic 46,</w:t>
      </w:r>
      <w:r>
        <w:t xml:space="preserve"> </w:t>
      </w:r>
      <w:r>
        <w:rPr>
          <w:i/>
        </w:rPr>
        <w:t xml:space="preserve">schools</w:t>
      </w:r>
    </w:p>
    <w:p>
      <w:pPr>
        <w:pStyle w:val="Compact"/>
      </w:pPr>
      <w:r>
        <w:t xml:space="preserve">lambda</w:t>
      </w:r>
    </w:p>
    <w:p>
      <w:pPr>
        <w:pStyle w:val="Compact"/>
      </w:pPr>
      <w:r>
        <w:t xml:space="preserve">Terms</w:t>
      </w:r>
    </w:p>
    <w:p>
      <w:pPr>
        <w:pStyle w:val="Compact"/>
      </w:pPr>
      <w:r>
        <w:t xml:space="preserve">model anchor: kindergarten</w:t>
      </w:r>
    </w:p>
    <w:p>
      <w:pPr>
        <w:pStyle w:val="Compact"/>
      </w:pPr>
      <w:r>
        <w:t xml:space="preserve">0.01</w:t>
      </w:r>
    </w:p>
    <w:p>
      <w:pPr>
        <w:pStyle w:val="Compact"/>
      </w:pPr>
      <w:r>
        <w:t xml:space="preserve">kindergarten, pupils, teacher, curriculum, rural, schools, vocations, recreated, classroom, train</w:t>
      </w:r>
    </w:p>
    <w:p>
      <w:pPr>
        <w:pStyle w:val="Compact"/>
      </w:pPr>
      <w:r>
        <w:t xml:space="preserve">0.5</w:t>
      </w:r>
    </w:p>
    <w:p>
      <w:pPr>
        <w:pStyle w:val="Compact"/>
      </w:pPr>
      <w:r>
        <w:t xml:space="preserve">schools, education, teacher, train, rural, community, pupils, vocations, Work, farms</w:t>
      </w:r>
    </w:p>
    <w:p>
      <w:pPr>
        <w:pStyle w:val="Compact"/>
      </w:pPr>
      <w:r>
        <w:t xml:space="preserve">1</w:t>
      </w:r>
    </w:p>
    <w:p>
      <w:pPr>
        <w:pStyle w:val="Compact"/>
      </w:pPr>
      <w:r>
        <w:t xml:space="preserve">schools, education, Work, social, train, teacher, community, rural, study, need</w:t>
      </w:r>
    </w:p>
    <w:p>
      <w:pPr>
        <w:pStyle w:val="BodyText"/>
      </w:pPr>
      <w:r>
        <w:t xml:space="preserve">The above descriptions of topics as vocabularies, as cursory as they may be, represent only a slice of the total diversity of topics predicted by the topic model. The reader is invited to explore the rest on her own by following the link to the interactive exhibit. The term explorer allows you to vary the lambda ratio between frequency and exclusivity to see how the status of particular words changes. It also shows how the topics relate to each other in a two dimensions space of term similarity, which succeeds at reproducing an axis between sociology and anthropology, albeit with other unexplored differences. Perhaps its most useful feature is the ability to easily observe how the frequency of individual words varies across topics, helping to highlight interesting cases of polysemy.</w:t>
      </w:r>
    </w:p>
    <w:p>
      <w:pPr>
        <w:pStyle w:val="BodyText"/>
      </w:pPr>
      <w:r>
        <w:t xml:space="preserve">(ref:soc-mod-viz) Topic Term Explorer,</w:t>
      </w:r>
      <w:r>
        <w:t xml:space="preserve"> </w:t>
      </w:r>
      <m:oMath>
        <m:r>
          <m:t>K</m:t>
        </m:r>
      </m:oMath>
      <w:r>
        <w:t xml:space="preserve"> </w:t>
      </w:r>
      <w:r>
        <w:t xml:space="preserve">= 50.</w:t>
      </w:r>
      <w:r>
        <w:t xml:space="preserve"> </w:t>
      </w:r>
      <w:hyperlink r:id="rId172">
        <w:r>
          <w:rPr>
            <w:i/>
            <w:rStyle w:val="Hyperlink"/>
          </w:rPr>
          <w:t xml:space="preserve">Interactive pop-out.</w:t>
        </w:r>
      </w:hyperlink>
    </w:p>
    <w:p>
      <w:pPr>
        <w:pStyle w:val="CaptionedFigure"/>
      </w:pPr>
      <w:r>
        <w:drawing>
          <wp:inline>
            <wp:extent cx="5334000" cy="3408000"/>
            <wp:effectExtent b="0" l="0" r="0" t="0"/>
            <wp:docPr descr="Figure 49 (ref:soc-mod-viz)" title="" id="1" name="Picture"/>
            <a:graphic>
              <a:graphicData uri="http://schemas.openxmlformats.org/drawingml/2006/picture">
                <pic:pic>
                  <pic:nvPicPr>
                    <pic:cNvPr descr="img/soc-mod-viz.png" id="0" name="Picture"/>
                    <pic:cNvPicPr>
                      <a:picLocks noChangeArrowheads="1" noChangeAspect="1"/>
                    </pic:cNvPicPr>
                  </pic:nvPicPr>
                  <pic:blipFill>
                    <a:blip r:embed="rId173"/>
                    <a:stretch>
                      <a:fillRect/>
                    </a:stretch>
                  </pic:blipFill>
                  <pic:spPr bwMode="auto">
                    <a:xfrm>
                      <a:off x="0" y="0"/>
                      <a:ext cx="5334000" cy="3408000"/>
                    </a:xfrm>
                    <a:prstGeom prst="rect">
                      <a:avLst/>
                    </a:prstGeom>
                    <a:noFill/>
                    <a:ln w="9525">
                      <a:noFill/>
                      <a:headEnd/>
                      <a:tailEnd/>
                    </a:ln>
                  </pic:spPr>
                </pic:pic>
              </a:graphicData>
            </a:graphic>
          </wp:inline>
        </w:drawing>
      </w:r>
    </w:p>
    <w:p>
      <w:pPr>
        <w:pStyle w:val="ImageCaption"/>
      </w:pPr>
      <w:r>
        <w:t xml:space="preserve">Figure 49 (ref:soc-mod-viz)</w:t>
      </w:r>
    </w:p>
    <w:p>
      <w:pPr>
        <w:pStyle w:val="Heading2"/>
      </w:pPr>
      <w:bookmarkStart w:id="174" w:name="discussion-2"/>
      <w:r>
        <w:t xml:space="preserve"> </w:t>
      </w:r>
      <w:r>
        <w:t xml:space="preserve">Discussion</w:t>
      </w:r>
      <w:bookmarkEnd w:id="174"/>
    </w:p>
    <w:p>
      <w:pPr>
        <w:pStyle w:val="FirstParagraph"/>
      </w:pPr>
      <w:r>
        <w:t xml:space="preserve">The evidence of change points toward the beginning and end of our sample period, as well as the wild diversity of different topic trajectories, illustrate that the settled times in between were not boring in the least. The cultural currents running in, and to a much lesser extent between, anthropology and sociology shifted constantly in terms of the attention of the professions as measured by words on the published page. If we think of the dynamics of each discipline in a competitive frame of mind, then it was often the case that sociology was the stronger contestant. It more frequently exhibited strong secular growth in its own disciplinary vocabulary, whereas the best trends in anthropology were often those that succeeded in remaining stable over the decades.</w:t>
      </w:r>
    </w:p>
    <w:p>
      <w:pPr>
        <w:pStyle w:val="BodyText"/>
      </w:pPr>
      <w:r>
        <w:t xml:space="preserve">An area for further exploration concerns the topics that were flashes in the pan, that were so short lived as to not warrant an analysis of trend. An interesting case of this is topic 24, which is packed with date terms, the names of the years themselves, and the terms surrounding them. It is located directly over the turn of the century and likely indicates a collective fascination with the transition into the new era, which we have associated with the founding of the American university system. Further research is required to understand what the historical significance, if any, of such fads and fashions may be</w:t>
      </w:r>
      <w:r>
        <w:t xml:space="preserve"> </w:t>
      </w:r>
      <w:r>
        <w:t xml:space="preserve">(Berger and Le Mens</w:t>
      </w:r>
      <w:r>
        <w:t xml:space="preserve"> </w:t>
      </w:r>
      <w:hyperlink w:anchor="ref-Berger2009How">
        <w:r>
          <w:rPr>
            <w:rStyle w:val="Hyperlink"/>
          </w:rPr>
          <w:t xml:space="preserve">2009</w:t>
        </w:r>
      </w:hyperlink>
      <w:r>
        <w:t xml:space="preserve">; Bikhchandani, Hirshleifer, and Welch</w:t>
      </w:r>
      <w:r>
        <w:t xml:space="preserve"> </w:t>
      </w:r>
      <w:hyperlink w:anchor="ref-Bikhchandani1992Theory">
        <w:r>
          <w:rPr>
            <w:rStyle w:val="Hyperlink"/>
          </w:rPr>
          <w:t xml:space="preserve">1992</w:t>
        </w:r>
      </w:hyperlink>
      <w:r>
        <w:t xml:space="preserve">; Hirsch</w:t>
      </w:r>
      <w:r>
        <w:t xml:space="preserve"> </w:t>
      </w:r>
      <w:hyperlink w:anchor="ref-Hirsch1972Processing">
        <w:r>
          <w:rPr>
            <w:rStyle w:val="Hyperlink"/>
          </w:rPr>
          <w:t xml:space="preserve">1972</w:t>
        </w:r>
      </w:hyperlink>
      <w:r>
        <w:t xml:space="preserve">)</w:t>
      </w:r>
      <w:r>
        <w:t xml:space="preserve">.</w:t>
      </w:r>
    </w:p>
    <w:p>
      <w:pPr>
        <w:pStyle w:val="Heading2"/>
      </w:pPr>
      <w:bookmarkStart w:id="175" w:name="a-census-of-social-science-scholarship"/>
      <w:r>
        <w:t xml:space="preserve">A census of social science scholarship</w:t>
      </w:r>
      <w:bookmarkEnd w:id="175"/>
    </w:p>
    <w:p>
      <w:pPr>
        <w:pStyle w:val="FirstParagraph"/>
      </w:pPr>
      <w:r>
        <w:t xml:space="preserve">In this study we have constructed a new way of looking at intellectual history that makes a place for the study of culture beside the traditional work horses of economic and demographic time series data</w:t>
      </w:r>
      <w:r>
        <w:t xml:space="preserve"> </w:t>
      </w:r>
      <w:r>
        <w:t xml:space="preserve">(Bail</w:t>
      </w:r>
      <w:r>
        <w:t xml:space="preserve"> </w:t>
      </w:r>
      <w:hyperlink w:anchor="ref-Bail2014cultural">
        <w:r>
          <w:rPr>
            <w:rStyle w:val="Hyperlink"/>
          </w:rPr>
          <w:t xml:space="preserve">2014</w:t>
        </w:r>
      </w:hyperlink>
      <w:r>
        <w:t xml:space="preserve">)</w:t>
      </w:r>
      <w:r>
        <w:t xml:space="preserve">. In an eminently sociological fashion we have rendered the domain of the humanist, text and the ideas enshrined in it, more legible to the quantitative historian. It is worth reflecting on the limits of this approach. While it is tempting to refer to a measurement derived from the topic model as a time series of ideas, in fact it is much less than this. Topics are vocabularies, not ideas. They may be the material with which ideas are codified and communicated, but they do not and can not discover the messages sent. Only the humanist’s close reading of texts can get at ideas, and the hermeneutic historian remains the leader among scholars who can claim to know now what historical actors once knew.</w:t>
      </w:r>
    </w:p>
    <w:p>
      <w:pPr>
        <w:pStyle w:val="BodyText"/>
      </w:pPr>
      <w:r>
        <w:t xml:space="preserve">What we have provided is nonetheless relevant to the hermeneutic historian. While vocabularies may not measure ideas, they are in fact very good indicators of the boundaries of what Wuthnow</w:t>
      </w:r>
      <w:r>
        <w:t xml:space="preserve"> </w:t>
      </w:r>
      <w:r>
        <w:t xml:space="preserve">(</w:t>
      </w:r>
      <w:hyperlink w:anchor="ref-Wuthnow1989Communities">
        <w:r>
          <w:rPr>
            <w:rStyle w:val="Hyperlink"/>
          </w:rPr>
          <w:t xml:space="preserve">1989</w:t>
        </w:r>
      </w:hyperlink>
      <w:r>
        <w:t xml:space="preserve">)</w:t>
      </w:r>
      <w:r>
        <w:t xml:space="preserve"> </w:t>
      </w:r>
      <w:r>
        <w:t xml:space="preserve">has called communities of discourse. Because scholarly disciplines are the institutional foundations for the emergence, growth, and decline of communities of discourse within the professions they encapsulate, the ability to identify them historically and at scale is a powerful tool both for establishing hermeneutic context and for analyzing the fates of scholars. A time series of topics set alongside economic and political indicators helps to acknowledge the complicated linkages in which scholars think.</w:t>
      </w:r>
    </w:p>
    <w:p>
      <w:pPr>
        <w:pStyle w:val="Heading1"/>
      </w:pPr>
      <w:bookmarkStart w:id="176" w:name="bibliography"/>
      <w:r>
        <w:t xml:space="preserve">Bibliography</w:t>
      </w:r>
      <w:bookmarkEnd w:id="176"/>
    </w:p>
    <w:bookmarkStart w:id="250" w:name="refs"/>
    <w:bookmarkStart w:id="177"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77"/>
    <w:bookmarkStart w:id="178" w:name="ref-Abbott2007Hot"/>
    <w:p>
      <w:pPr>
        <w:pStyle w:val="Bibliography"/>
      </w:pPr>
      <w:r>
        <w:t xml:space="preserve">Abbott, Andrew and James T. Sparrow. 2007.</w:t>
      </w:r>
      <w:r>
        <w:t xml:space="preserve"> </w:t>
      </w:r>
      <w:r>
        <w:rPr>
          <w:i/>
        </w:rPr>
        <w:t xml:space="preserve">Hot War, Cold War: The Structures of Sociological Action, 1940–1955</w:t>
      </w:r>
      <w:r>
        <w:t xml:space="preserve">. University of Chicago Press.</w:t>
      </w:r>
    </w:p>
    <w:bookmarkEnd w:id="178"/>
    <w:bookmarkStart w:id="179"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79"/>
    <w:bookmarkStart w:id="180" w:name="ref-Bail2014cultural"/>
    <w:p>
      <w:pPr>
        <w:pStyle w:val="Bibliography"/>
      </w:pPr>
      <w:r>
        <w:t xml:space="preserve">Bail, Christopher A. 2014. “The Cultural Environment: Measuring Culture with Big Data.”</w:t>
      </w:r>
      <w:r>
        <w:t xml:space="preserve"> </w:t>
      </w:r>
      <w:r>
        <w:rPr>
          <w:i/>
        </w:rPr>
        <w:t xml:space="preserve">Theory and Society</w:t>
      </w:r>
      <w:r>
        <w:t xml:space="preserve"> </w:t>
      </w:r>
      <w:r>
        <w:t xml:space="preserve">43(3-4):465–82.</w:t>
      </w:r>
    </w:p>
    <w:bookmarkEnd w:id="180"/>
    <w:bookmarkStart w:id="181" w:name="ref-Berger2009How"/>
    <w:p>
      <w:pPr>
        <w:pStyle w:val="Bibliography"/>
      </w:pPr>
      <w:r>
        <w:t xml:space="preserve">Berger, J. and G. Le Mens. 2009. “How Adoption Speed Affects the Abandonment of Cultural Tastes.”</w:t>
      </w:r>
      <w:r>
        <w:t xml:space="preserve"> </w:t>
      </w:r>
      <w:r>
        <w:rPr>
          <w:i/>
        </w:rPr>
        <w:t xml:space="preserve">Proceedings of the National Academy of Sciences</w:t>
      </w:r>
      <w:r>
        <w:t xml:space="preserve"> </w:t>
      </w:r>
      <w:r>
        <w:t xml:space="preserve">106(20):8146–50.</w:t>
      </w:r>
    </w:p>
    <w:bookmarkEnd w:id="181"/>
    <w:bookmarkStart w:id="182" w:name="ref-Berger1966Social"/>
    <w:p>
      <w:pPr>
        <w:pStyle w:val="Bibliography"/>
      </w:pPr>
      <w:r>
        <w:t xml:space="preserve">Berger, Peter L. and Thomas Luckmann. 1966.</w:t>
      </w:r>
      <w:r>
        <w:t xml:space="preserve"> </w:t>
      </w:r>
      <w:r>
        <w:rPr>
          <w:i/>
        </w:rPr>
        <w:t xml:space="preserve">The Social Construction of Reality: A Treatise in the Sociology of Knowledge</w:t>
      </w:r>
      <w:r>
        <w:t xml:space="preserve">. London: Penguin Books.</w:t>
      </w:r>
    </w:p>
    <w:bookmarkEnd w:id="182"/>
    <w:bookmarkStart w:id="183" w:name="ref-Bikhchandani1992Theory"/>
    <w:p>
      <w:pPr>
        <w:pStyle w:val="Bibliography"/>
      </w:pPr>
      <w:r>
        <w:t xml:space="preserve">Bikhchandani, Sushil, David Hirshleifer, and Ivo Welch. 1992. “A Theory of Fads, Fashion, Custom, and Cultural Change as Informational Cascades.”</w:t>
      </w:r>
      <w:r>
        <w:t xml:space="preserve"> </w:t>
      </w:r>
      <w:r>
        <w:rPr>
          <w:i/>
        </w:rPr>
        <w:t xml:space="preserve">The Journal of Political Economy</w:t>
      </w:r>
      <w:r>
        <w:t xml:space="preserve"> </w:t>
      </w:r>
      <w:r>
        <w:t xml:space="preserve">100(5):992–1026.</w:t>
      </w:r>
    </w:p>
    <w:bookmarkEnd w:id="183"/>
    <w:bookmarkStart w:id="184"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84"/>
    <w:bookmarkStart w:id="185"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85"/>
    <w:bookmarkStart w:id="186" w:name="ref-Blondel2008Fast"/>
    <w:p>
      <w:pPr>
        <w:pStyle w:val="Bibliography"/>
      </w:pPr>
      <w:r>
        <w:t xml:space="preserve">Blondel, Vincent D., Jean-Loup Guillaume, Renaud Lambiotte, and Etienne Lefebvre. 2008. “Fast Unfolding of Communities in Large Networks.”</w:t>
      </w:r>
    </w:p>
    <w:bookmarkEnd w:id="186"/>
    <w:bookmarkStart w:id="187"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87"/>
    <w:bookmarkStart w:id="188" w:name="ref-Bureau1975Historical"/>
    <w:p>
      <w:pPr>
        <w:pStyle w:val="Bibliography"/>
      </w:pPr>
      <w:r>
        <w:t xml:space="preserve">Bureau, US Census. 1975.</w:t>
      </w:r>
      <w:r>
        <w:t xml:space="preserve"> </w:t>
      </w:r>
      <w:r>
        <w:rPr>
          <w:i/>
        </w:rPr>
        <w:t xml:space="preserve">Historical Statistics of the United States, Colonial Times to 1970</w:t>
      </w:r>
      <w:r>
        <w:t xml:space="preserve">.</w:t>
      </w:r>
    </w:p>
    <w:bookmarkEnd w:id="188"/>
    <w:bookmarkStart w:id="189"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89"/>
    <w:bookmarkStart w:id="190" w:name="ref-Chang2009Reading"/>
    <w:p>
      <w:pPr>
        <w:pStyle w:val="Bibliography"/>
      </w:pPr>
      <w:r>
        <w:t xml:space="preserve">Chang, Jonathan, Sean Gerrish, Chong Wang, Jordan L. Boyd-graber, and David M. Blei. 2009. “Reading Tea Leaves: How Humans Interpret Topic Models.” Pp. 288–96 in</w:t>
      </w:r>
      <w:r>
        <w:t xml:space="preserve"> </w:t>
      </w:r>
      <w:r>
        <w:rPr>
          <w:i/>
        </w:rPr>
        <w:t xml:space="preserve">Advances in Neural Information Processing Systems 22</w:t>
      </w:r>
      <w:r>
        <w:t xml:space="preserve">, edited by Y. Bengio, D. Schuurmans, J. D. Lafferty, C. K. I. Williams, and A. Culotta. Curran Associates, Inc.</w:t>
      </w:r>
    </w:p>
    <w:bookmarkEnd w:id="190"/>
    <w:bookmarkStart w:id="191"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91"/>
    <w:bookmarkStart w:id="192"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92"/>
    <w:bookmarkStart w:id="193" w:name="ref-Durkheim1915Elementary"/>
    <w:p>
      <w:pPr>
        <w:pStyle w:val="Bibliography"/>
      </w:pPr>
      <w:r>
        <w:t xml:space="preserve">Durkheim, Emile. 1915.</w:t>
      </w:r>
      <w:r>
        <w:t xml:space="preserve"> </w:t>
      </w:r>
      <w:r>
        <w:rPr>
          <w:i/>
        </w:rPr>
        <w:t xml:space="preserve">The Elementary Forms of Religious Life</w:t>
      </w:r>
      <w:r>
        <w:t xml:space="preserve">. New York: Free Press.</w:t>
      </w:r>
    </w:p>
    <w:bookmarkEnd w:id="193"/>
    <w:bookmarkStart w:id="194" w:name="ref-Durkheim1893division"/>
    <w:p>
      <w:pPr>
        <w:pStyle w:val="Bibliography"/>
      </w:pPr>
      <w:r>
        <w:t xml:space="preserve">Durkheim, Émile. 1893.</w:t>
      </w:r>
      <w:r>
        <w:t xml:space="preserve"> </w:t>
      </w:r>
      <w:r>
        <w:rPr>
          <w:i/>
        </w:rPr>
        <w:t xml:space="preserve">The Division of Labour in Society</w:t>
      </w:r>
      <w:r>
        <w:t xml:space="preserve">. 2nd. ed. edited by S. Lukes. Basingstoke, Hampshire: Palgrave Macmillan UK.</w:t>
      </w:r>
    </w:p>
    <w:bookmarkEnd w:id="194"/>
    <w:bookmarkStart w:id="195"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Wesleyan University Press.</w:t>
      </w:r>
    </w:p>
    <w:bookmarkEnd w:id="195"/>
    <w:bookmarkStart w:id="196"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96"/>
    <w:bookmarkStart w:id="197"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97"/>
    <w:bookmarkStart w:id="198" w:name="ref-Gitlin2000Triumph"/>
    <w:p>
      <w:pPr>
        <w:pStyle w:val="Bibliography"/>
      </w:pPr>
      <w:r>
        <w:t xml:space="preserve">Gitlin, Todd. 2000. “The Triumph of the Synthetic: Spinoffs, Copies, Recombinant Culture.” Pp. 63–85 in</w:t>
      </w:r>
      <w:r>
        <w:t xml:space="preserve"> </w:t>
      </w:r>
      <w:r>
        <w:rPr>
          <w:i/>
        </w:rPr>
        <w:t xml:space="preserve">Inside prime time: With a new introduction</w:t>
      </w:r>
      <w:r>
        <w:t xml:space="preserve">. Berkeley: University of California Press.</w:t>
      </w:r>
    </w:p>
    <w:bookmarkEnd w:id="198"/>
    <w:bookmarkStart w:id="199" w:name="ref-2012Google"/>
    <w:p>
      <w:pPr>
        <w:pStyle w:val="Bibliography"/>
      </w:pPr>
      <w:r>
        <w:t xml:space="preserve">Google. 2012. “Google Ngram Viewer.”</w:t>
      </w:r>
    </w:p>
    <w:bookmarkEnd w:id="199"/>
    <w:bookmarkStart w:id="200" w:name="ref-Gould1999Race"/>
    <w:p>
      <w:pPr>
        <w:pStyle w:val="Bibliography"/>
      </w:pPr>
      <w:r>
        <w:t xml:space="preserve">Gould, Mark. 1999. “Race and Theory: Culture, Poverty, and Adaptation to Discrimination in Wilson and Ogbu.”</w:t>
      </w:r>
      <w:r>
        <w:t xml:space="preserve"> </w:t>
      </w:r>
      <w:r>
        <w:rPr>
          <w:i/>
        </w:rPr>
        <w:t xml:space="preserve">Sociological Theory</w:t>
      </w:r>
      <w:r>
        <w:t xml:space="preserve"> </w:t>
      </w:r>
      <w:r>
        <w:t xml:space="preserve">17(2):171–200.</w:t>
      </w:r>
    </w:p>
    <w:bookmarkEnd w:id="200"/>
    <w:bookmarkStart w:id="201" w:name="ref-Gould2002Origins"/>
    <w:p>
      <w:pPr>
        <w:pStyle w:val="Bibliography"/>
      </w:pPr>
      <w:r>
        <w:t xml:space="preserve">Gould, Roger V. 2002. “The Origins of Status Hierarchies: A Formal Theory and Empirical Test.”</w:t>
      </w:r>
      <w:r>
        <w:t xml:space="preserve"> </w:t>
      </w:r>
      <w:r>
        <w:rPr>
          <w:i/>
        </w:rPr>
        <w:t xml:space="preserve">The American Journal of Sociology</w:t>
      </w:r>
      <w:r>
        <w:t xml:space="preserve"> </w:t>
      </w:r>
      <w:r>
        <w:t xml:space="preserve">107(5):1143–78.</w:t>
      </w:r>
    </w:p>
    <w:bookmarkEnd w:id="201"/>
    <w:bookmarkStart w:id="202" w:name="ref-Hall2008Studying"/>
    <w:p>
      <w:pPr>
        <w:pStyle w:val="Bibliography"/>
      </w:pPr>
      <w:r>
        <w:t xml:space="preserve">Hall, David, Daniel Jurafsky, and Christopher D. Manning. 2008. “Studying the History of Ideas Using Topic Models.” Pp. 363–71 in</w:t>
      </w:r>
      <w:r>
        <w:t xml:space="preserve"> </w:t>
      </w:r>
      <w:r>
        <w:rPr>
          <w:i/>
        </w:rPr>
        <w:t xml:space="preserve">Proceedings of the Conference on Empirical Methods in Natural Language Processing</w:t>
      </w:r>
      <w:r>
        <w:t xml:space="preserve">,</w:t>
      </w:r>
      <w:r>
        <w:t xml:space="preserve"> </w:t>
      </w:r>
      <w:r>
        <w:rPr>
          <w:i/>
        </w:rPr>
        <w:t xml:space="preserve">EMNLP ’08</w:t>
      </w:r>
      <w:r>
        <w:t xml:space="preserve">, edited by M. Lapata. Stroudsburg, PA, USA: Association for Computational Linguistics.</w:t>
      </w:r>
    </w:p>
    <w:bookmarkEnd w:id="202"/>
    <w:bookmarkStart w:id="203" w:name="ref-Hirsch1972Processing"/>
    <w:p>
      <w:pPr>
        <w:pStyle w:val="Bibliography"/>
      </w:pPr>
      <w:r>
        <w:t xml:space="preserve">Hirsch, Paul M. 1972. “Processing Fads and Fashions: An Organization-Set Analysis of Cultural Industry Systems.”</w:t>
      </w:r>
      <w:r>
        <w:t xml:space="preserve"> </w:t>
      </w:r>
      <w:r>
        <w:rPr>
          <w:i/>
        </w:rPr>
        <w:t xml:space="preserve">The American Journal of Sociology</w:t>
      </w:r>
      <w:r>
        <w:t xml:space="preserve"> </w:t>
      </w:r>
      <w:r>
        <w:t xml:space="preserve">77(4):639–59.</w:t>
      </w:r>
    </w:p>
    <w:bookmarkEnd w:id="203"/>
    <w:bookmarkStart w:id="204"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204"/>
    <w:bookmarkStart w:id="205" w:name="ref-James2019ecp"/>
    <w:p>
      <w:pPr>
        <w:pStyle w:val="Bibliography"/>
      </w:pPr>
      <w:r>
        <w:t xml:space="preserve">James, Nicholas A. and Wenyu Zhang and David S. Matteson. 2019. “Ecp: Non-Parametric Multiple Change-Point Analysis of Multivariate Data.”</w:t>
      </w:r>
    </w:p>
    <w:bookmarkEnd w:id="205"/>
    <w:bookmarkStart w:id="206" w:name="ref-JSTOR2018Title"/>
    <w:p>
      <w:pPr>
        <w:pStyle w:val="Bibliography"/>
      </w:pPr>
      <w:r>
        <w:t xml:space="preserve">JSTOR. 2018. “Title Lists.”</w:t>
      </w:r>
      <w:r>
        <w:t xml:space="preserve"> </w:t>
      </w:r>
      <w:r>
        <w:rPr>
          <w:i/>
        </w:rPr>
        <w:t xml:space="preserve">JSTOR Support Home</w:t>
      </w:r>
      <w:r>
        <w:t xml:space="preserve">.</w:t>
      </w:r>
    </w:p>
    <w:bookmarkEnd w:id="206"/>
    <w:bookmarkStart w:id="207"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207"/>
    <w:bookmarkStart w:id="208" w:name="ref-Kuhn1970Structure"/>
    <w:p>
      <w:pPr>
        <w:pStyle w:val="Bibliography"/>
      </w:pPr>
      <w:r>
        <w:t xml:space="preserve">Kuhn, Thomas S. 1970.</w:t>
      </w:r>
      <w:r>
        <w:t xml:space="preserve"> </w:t>
      </w:r>
      <w:r>
        <w:rPr>
          <w:i/>
        </w:rPr>
        <w:t xml:space="preserve">The Structure of Scientific Revolutions</w:t>
      </w:r>
      <w:r>
        <w:t xml:space="preserve">. Chicago: University of Chicago Press.</w:t>
      </w:r>
    </w:p>
    <w:bookmarkEnd w:id="208"/>
    <w:bookmarkStart w:id="209" w:name="ref-vanderLaan2007Super"/>
    <w:p>
      <w:pPr>
        <w:pStyle w:val="Bibliography"/>
      </w:pPr>
      <w:r>
        <w:t xml:space="preserve">Laan, Mark J. van der, Eric C. Polley, and Alan E. Hubbard. 2007. “Super Learner.”</w:t>
      </w:r>
      <w:r>
        <w:t xml:space="preserve"> </w:t>
      </w:r>
      <w:r>
        <w:rPr>
          <w:i/>
        </w:rPr>
        <w:t xml:space="preserve">Statistical Applications in Genetics and Molecular Biology</w:t>
      </w:r>
      <w:r>
        <w:t xml:space="preserve"> </w:t>
      </w:r>
      <w:r>
        <w:t xml:space="preserve">6(1).</w:t>
      </w:r>
    </w:p>
    <w:bookmarkEnd w:id="209"/>
    <w:bookmarkStart w:id="210"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210"/>
    <w:bookmarkStart w:id="211"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211"/>
    <w:bookmarkStart w:id="212"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212"/>
    <w:bookmarkStart w:id="213" w:name="ref-Lodahl1972Structure"/>
    <w:p>
      <w:pPr>
        <w:pStyle w:val="Bibliography"/>
      </w:pPr>
      <w:r>
        <w:t xml:space="preserve">Lodahl, Janice Beyer and Gerald Gordon. 1972. “The Structure of Scientific Fields and the Functioning of University Graduate Departments.”</w:t>
      </w:r>
      <w:r>
        <w:t xml:space="preserve"> </w:t>
      </w:r>
      <w:r>
        <w:rPr>
          <w:i/>
        </w:rPr>
        <w:t xml:space="preserve">American Sociological Review</w:t>
      </w:r>
      <w:r>
        <w:t xml:space="preserve"> </w:t>
      </w:r>
      <w:r>
        <w:t xml:space="preserve">37(1):57–72.</w:t>
      </w:r>
    </w:p>
    <w:bookmarkEnd w:id="213"/>
    <w:bookmarkStart w:id="214" w:name="ref-Maaten2008Visualizing"/>
    <w:p>
      <w:pPr>
        <w:pStyle w:val="Bibliography"/>
      </w:pPr>
      <w:r>
        <w:t xml:space="preserve">Maaten, Laurens van der and Geoffrey Hinton. 2008. “Visualizing Data Using T-SNE.”</w:t>
      </w:r>
      <w:r>
        <w:t xml:space="preserve"> </w:t>
      </w:r>
      <w:r>
        <w:rPr>
          <w:i/>
        </w:rPr>
        <w:t xml:space="preserve">Journal of Machine Learning Research</w:t>
      </w:r>
      <w:r>
        <w:t xml:space="preserve"> </w:t>
      </w:r>
      <w:r>
        <w:t xml:space="preserve">9(Nov):2579–2605.</w:t>
      </w:r>
    </w:p>
    <w:bookmarkEnd w:id="214"/>
    <w:bookmarkStart w:id="215"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215"/>
    <w:bookmarkStart w:id="216"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216"/>
    <w:bookmarkStart w:id="217" w:name="ref-Mimno2014Lowdimensional"/>
    <w:p>
      <w:pPr>
        <w:pStyle w:val="Bibliography"/>
      </w:pPr>
      <w:r>
        <w:t xml:space="preserve">Mimno, David and Moontae Lee. 2014. “Low-Dimensional Embeddings for Interpretable Anchor-Based Topic Inference.” Pp. 1319–28 in</w:t>
      </w:r>
      <w:r>
        <w:t xml:space="preserve"> </w:t>
      </w:r>
      <w:r>
        <w:rPr>
          <w:i/>
        </w:rPr>
        <w:t xml:space="preserve">Proceedings of the 2014 Conference on Empirical Methods in Natural Language Processing (EMNLP)</w:t>
      </w:r>
      <w:r>
        <w:t xml:space="preserve">. Doha, Qatar: Association for Computational Linguistics.</w:t>
      </w:r>
    </w:p>
    <w:bookmarkEnd w:id="217"/>
    <w:bookmarkStart w:id="218"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218"/>
    <w:bookmarkStart w:id="219" w:name="ref-Morphew2002Using"/>
    <w:p>
      <w:pPr>
        <w:pStyle w:val="Bibliography"/>
      </w:pPr>
      <w:r>
        <w:t xml:space="preserve">Morphew, Christopher C. and Jeroen Huisman. 2002. “Using Institutional Theory to Reframe Research on Academic Drift.”</w:t>
      </w:r>
      <w:r>
        <w:t xml:space="preserve"> </w:t>
      </w:r>
      <w:r>
        <w:rPr>
          <w:i/>
        </w:rPr>
        <w:t xml:space="preserve">Higher Education in Europe</w:t>
      </w:r>
      <w:r>
        <w:t xml:space="preserve"> </w:t>
      </w:r>
      <w:r>
        <w:t xml:space="preserve">27(4):491.</w:t>
      </w:r>
    </w:p>
    <w:bookmarkEnd w:id="219"/>
    <w:bookmarkStart w:id="220"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220"/>
    <w:bookmarkStart w:id="221" w:name="ref-NCES2010Table"/>
    <w:p>
      <w:pPr>
        <w:pStyle w:val="Bibliography"/>
      </w:pPr>
      <w:r>
        <w:t xml:space="preserve">NCES, National Center for Education Statistics. 2010.</w:t>
      </w:r>
      <w:r>
        <w:t xml:space="preserve"> </w:t>
      </w:r>
      <w:r>
        <w:rPr>
          <w:i/>
        </w:rPr>
        <w:t xml:space="preserve">Table 196. Historical Summary of Faculty, Students, Degrees, and Finances in Degree-Granting Institutions: Selected Years, 1869-70 Through 2008-09</w:t>
      </w:r>
      <w:r>
        <w:t xml:space="preserve">.</w:t>
      </w:r>
    </w:p>
    <w:bookmarkEnd w:id="221"/>
    <w:bookmarkStart w:id="222"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222"/>
    <w:bookmarkStart w:id="223"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223"/>
    <w:bookmarkStart w:id="224"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224"/>
    <w:bookmarkStart w:id="225" w:name="ref-Parsons1970Age"/>
    <w:p>
      <w:pPr>
        <w:pStyle w:val="Bibliography"/>
      </w:pPr>
      <w:r>
        <w:t xml:space="preserve">Parsons, Talcott and Gerald Platt. 1970. “Age, Social Structure, and Socialization in Higher Education.”</w:t>
      </w:r>
      <w:r>
        <w:t xml:space="preserve"> </w:t>
      </w:r>
      <w:r>
        <w:rPr>
          <w:i/>
        </w:rPr>
        <w:t xml:space="preserve">Sociology of Education</w:t>
      </w:r>
      <w:r>
        <w:t xml:space="preserve"> </w:t>
      </w:r>
      <w:r>
        <w:t xml:space="preserve">43(1):1–37.</w:t>
      </w:r>
    </w:p>
    <w:bookmarkEnd w:id="225"/>
    <w:bookmarkStart w:id="226" w:name="ref-Patterson2001Social"/>
    <w:p>
      <w:pPr>
        <w:pStyle w:val="Bibliography"/>
      </w:pPr>
      <w:r>
        <w:t xml:space="preserve">Patterson, Thomas C. 2001.</w:t>
      </w:r>
      <w:r>
        <w:t xml:space="preserve"> </w:t>
      </w:r>
      <w:r>
        <w:rPr>
          <w:i/>
        </w:rPr>
        <w:t xml:space="preserve">A Social History of Anthropology in the United States</w:t>
      </w:r>
      <w:r>
        <w:t xml:space="preserve">. Oxford; New York: Berg.</w:t>
      </w:r>
    </w:p>
    <w:bookmarkEnd w:id="226"/>
    <w:bookmarkStart w:id="227" w:name="ref-Polley2019SuperLearner"/>
    <w:p>
      <w:pPr>
        <w:pStyle w:val="Bibliography"/>
      </w:pPr>
      <w:r>
        <w:t xml:space="preserve">Polley, Eric, Erin LeDell, Chris Kennedy, Sam Lendle, and Mark van der Laan. 2019. “SuperLearner: Super Learner Prediction.”</w:t>
      </w:r>
    </w:p>
    <w:bookmarkEnd w:id="227"/>
    <w:bookmarkStart w:id="228"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228"/>
    <w:bookmarkStart w:id="229" w:name="ref-Roberts2018stm"/>
    <w:p>
      <w:pPr>
        <w:pStyle w:val="Bibliography"/>
      </w:pPr>
      <w:r>
        <w:t xml:space="preserve">Roberts, Margaret, Brandon Stewart, Dustin Tingley, and Kenneth Benoit. 2018. “Stm: Estimation of the Structural Topic Model.”</w:t>
      </w:r>
    </w:p>
    <w:bookmarkEnd w:id="229"/>
    <w:bookmarkStart w:id="230"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230"/>
    <w:bookmarkStart w:id="231" w:name="ref-Roberts2015pkg"/>
    <w:p>
      <w:pPr>
        <w:pStyle w:val="Bibliography"/>
      </w:pPr>
      <w:r>
        <w:t xml:space="preserve">Roberts, Nicola. 2015. “Hdp: R Pkg for Hierarchical Dirichlet Process.”</w:t>
      </w:r>
    </w:p>
    <w:bookmarkEnd w:id="231"/>
    <w:bookmarkStart w:id="232" w:name="ref-Rokhlin2009Randomized"/>
    <w:p>
      <w:pPr>
        <w:pStyle w:val="Bibliography"/>
      </w:pPr>
      <w:r>
        <w:t xml:space="preserve">Rokhlin, V., A. Szlam, and M. Tygert. 2009. “A Randomized Algorithm for Principal Component Analysis.”</w:t>
      </w:r>
      <w:r>
        <w:t xml:space="preserve"> </w:t>
      </w:r>
      <w:r>
        <w:rPr>
          <w:i/>
        </w:rPr>
        <w:t xml:space="preserve">SIAM Journal on Matrix Analysis and Applications</w:t>
      </w:r>
      <w:r>
        <w:t xml:space="preserve"> </w:t>
      </w:r>
      <w:r>
        <w:t xml:space="preserve">31(3):1100–1124.</w:t>
      </w:r>
    </w:p>
    <w:bookmarkEnd w:id="232"/>
    <w:bookmarkStart w:id="233" w:name="ref-Roose2018Trends"/>
    <w:p>
      <w:pPr>
        <w:pStyle w:val="Bibliography"/>
      </w:pPr>
      <w:r>
        <w:t xml:space="preserve">Roose, Henk, Willem Roose, and Stijn Daenekindt. 2018. “Trends in Contemporary Art Discourse: Using Topic Models to Analyze 25 Years of Professional Art Criticism.”</w:t>
      </w:r>
      <w:r>
        <w:t xml:space="preserve"> </w:t>
      </w:r>
      <w:r>
        <w:rPr>
          <w:i/>
        </w:rPr>
        <w:t xml:space="preserve">Cultural Sociology</w:t>
      </w:r>
      <w:r>
        <w:t xml:space="preserve"> </w:t>
      </w:r>
      <w:r>
        <w:t xml:space="preserve">12(3):303–24.</w:t>
      </w:r>
    </w:p>
    <w:bookmarkEnd w:id="233"/>
    <w:bookmarkStart w:id="234" w:name="ref-Rzhetsky2006Microparadigms"/>
    <w:p>
      <w:pPr>
        <w:pStyle w:val="Bibliography"/>
      </w:pPr>
      <w:r>
        <w:t xml:space="preserve">Rzhetsky, Andrey, Ivan Iossifov, Ji Meng Loh, and Kevin P. White. 2006. “Microparadigms: Chains of Collective Reasoning in Publications About Molecular Interactions.”</w:t>
      </w:r>
      <w:r>
        <w:t xml:space="preserve"> </w:t>
      </w:r>
      <w:r>
        <w:rPr>
          <w:i/>
        </w:rPr>
        <w:t xml:space="preserve">Proceedings of the National Academy of Sciences of the United States of America</w:t>
      </w:r>
      <w:r>
        <w:t xml:space="preserve"> </w:t>
      </w:r>
      <w:r>
        <w:t xml:space="preserve">103(13):4940–5.</w:t>
      </w:r>
    </w:p>
    <w:bookmarkEnd w:id="234"/>
    <w:bookmarkStart w:id="235"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235"/>
    <w:bookmarkStart w:id="236" w:name="ref-Schutz1970Reflections"/>
    <w:p>
      <w:pPr>
        <w:pStyle w:val="Bibliography"/>
      </w:pPr>
      <w:r>
        <w:t xml:space="preserve">Schutz, Alfred. 1970.</w:t>
      </w:r>
      <w:r>
        <w:t xml:space="preserve"> </w:t>
      </w:r>
      <w:r>
        <w:rPr>
          <w:i/>
        </w:rPr>
        <w:t xml:space="preserve">Reflections on the Problem of Relevance</w:t>
      </w:r>
      <w:r>
        <w:t xml:space="preserve">. First Edition edition. New Haven: Yale University Press.</w:t>
      </w:r>
    </w:p>
    <w:bookmarkEnd w:id="236"/>
    <w:bookmarkStart w:id="237"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37"/>
    <w:bookmarkStart w:id="238" w:name="ref-Snyder1993120"/>
    <w:p>
      <w:pPr>
        <w:pStyle w:val="Bibliography"/>
      </w:pPr>
      <w:r>
        <w:t xml:space="preserve">Snyder, Thomas. 1993. “120 Years of American Education: A Statistical Portrait.”</w:t>
      </w:r>
      <w:r>
        <w:t xml:space="preserve"> </w:t>
      </w:r>
      <w:r>
        <w:rPr>
          <w:i/>
        </w:rPr>
        <w:t xml:space="preserve">120 Years of American Education: A Statistical Portrait</w:t>
      </w:r>
      <w:r>
        <w:t xml:space="preserve">.</w:t>
      </w:r>
    </w:p>
    <w:bookmarkEnd w:id="238"/>
    <w:bookmarkStart w:id="239" w:name="ref-Swidler1986Culture"/>
    <w:p>
      <w:pPr>
        <w:pStyle w:val="Bibliography"/>
      </w:pPr>
      <w:r>
        <w:t xml:space="preserve">Swidler, Ann. 1986. “Culture in Action: Symbols and Strategies.”</w:t>
      </w:r>
      <w:r>
        <w:t xml:space="preserve"> </w:t>
      </w:r>
      <w:r>
        <w:rPr>
          <w:i/>
        </w:rPr>
        <w:t xml:space="preserve">American Sociological Review</w:t>
      </w:r>
      <w:r>
        <w:t xml:space="preserve"> </w:t>
      </w:r>
      <w:r>
        <w:t xml:space="preserve">51(2):273–86.</w:t>
      </w:r>
    </w:p>
    <w:bookmarkEnd w:id="239"/>
    <w:bookmarkStart w:id="240"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40"/>
    <w:bookmarkStart w:id="241"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41"/>
    <w:bookmarkStart w:id="242" w:name="ref-Tolbert1985Institutional"/>
    <w:p>
      <w:pPr>
        <w:pStyle w:val="Bibliography"/>
      </w:pPr>
      <w:r>
        <w:t xml:space="preserve">Tolbert, Pamela S. 1985. “Institutional Environments and Resource Dependence: Sources of Administrative Structure in Institutions of Higher Education.”</w:t>
      </w:r>
      <w:r>
        <w:t xml:space="preserve"> </w:t>
      </w:r>
      <w:r>
        <w:rPr>
          <w:i/>
        </w:rPr>
        <w:t xml:space="preserve">Administrative Science Quarterly</w:t>
      </w:r>
      <w:r>
        <w:t xml:space="preserve"> </w:t>
      </w:r>
      <w:r>
        <w:t xml:space="preserve">30(1):1–13.</w:t>
      </w:r>
    </w:p>
    <w:bookmarkEnd w:id="242"/>
    <w:bookmarkStart w:id="243" w:name="ref-Tolbert1983Institutional"/>
    <w:p>
      <w:pPr>
        <w:pStyle w:val="Bibliography"/>
      </w:pPr>
      <w:r>
        <w:t xml:space="preserve">Tolbert, Pamela S. and Lynne G. Zucker. 1983. “Institutional Sources of Change in the Formal Structure of Organizations: The Diffusion of Civil Service Reform, 1880-1935.”</w:t>
      </w:r>
      <w:r>
        <w:t xml:space="preserve"> </w:t>
      </w:r>
      <w:r>
        <w:rPr>
          <w:i/>
        </w:rPr>
        <w:t xml:space="preserve">Administrative Science Quarterly</w:t>
      </w:r>
      <w:r>
        <w:t xml:space="preserve"> </w:t>
      </w:r>
      <w:r>
        <w:t xml:space="preserve">28(1):22–39.</w:t>
      </w:r>
    </w:p>
    <w:bookmarkEnd w:id="243"/>
    <w:bookmarkStart w:id="244" w:name="ref-Vedres2010Structural"/>
    <w:p>
      <w:pPr>
        <w:pStyle w:val="Bibliography"/>
      </w:pPr>
      <w:r>
        <w:t xml:space="preserve">Vedres, Balázs and David Stark. 2010. “Structural Folds: Generative Disruption in Overlapping Groups.”</w:t>
      </w:r>
      <w:r>
        <w:t xml:space="preserve"> </w:t>
      </w:r>
      <w:r>
        <w:rPr>
          <w:i/>
        </w:rPr>
        <w:t xml:space="preserve">American Journal of Sociology</w:t>
      </w:r>
      <w:r>
        <w:t xml:space="preserve"> </w:t>
      </w:r>
      <w:r>
        <w:t xml:space="preserve">115(4):1150–90.</w:t>
      </w:r>
    </w:p>
    <w:bookmarkEnd w:id="244"/>
    <w:bookmarkStart w:id="245" w:name="ref-Wattenberg2016How"/>
    <w:p>
      <w:pPr>
        <w:pStyle w:val="Bibliography"/>
      </w:pPr>
      <w:r>
        <w:t xml:space="preserve">Wattenberg, Martin, Fernanda Viégas, and Ian Johnson. 2016. “How to Use T-SNE Effectively.”</w:t>
      </w:r>
      <w:r>
        <w:t xml:space="preserve"> </w:t>
      </w:r>
      <w:r>
        <w:rPr>
          <w:i/>
        </w:rPr>
        <w:t xml:space="preserve">Distill</w:t>
      </w:r>
      <w:r>
        <w:t xml:space="preserve"> </w:t>
      </w:r>
      <w:r>
        <w:t xml:space="preserve">1(10):e2.</w:t>
      </w:r>
    </w:p>
    <w:bookmarkEnd w:id="245"/>
    <w:bookmarkStart w:id="246" w:name="ref-Wuthnow1989Communities"/>
    <w:p>
      <w:pPr>
        <w:pStyle w:val="Bibliography"/>
      </w:pPr>
      <w:r>
        <w:t xml:space="preserve">Wuthnow, Robert. 1989.</w:t>
      </w:r>
      <w:r>
        <w:t xml:space="preserve"> </w:t>
      </w:r>
      <w:r>
        <w:rPr>
          <w:i/>
        </w:rPr>
        <w:t xml:space="preserve">Communities of Discourse: Ideology and Social Structure in the Reformation, the Enlightenment, and European Socialism</w:t>
      </w:r>
      <w:r>
        <w:t xml:space="preserve">. Cambridge, Mass.: Harvard University Press.</w:t>
      </w:r>
    </w:p>
    <w:bookmarkEnd w:id="246"/>
    <w:bookmarkStart w:id="247" w:name="ref-Zucker1983Organizations"/>
    <w:p>
      <w:pPr>
        <w:pStyle w:val="Bibliography"/>
      </w:pPr>
      <w:r>
        <w:t xml:space="preserve">Zucker, Lynne G. 1983. “Organizations as Institutions” edited by S. B. Bacharach.</w:t>
      </w:r>
      <w:r>
        <w:t xml:space="preserve"> </w:t>
      </w:r>
      <w:r>
        <w:rPr>
          <w:i/>
        </w:rPr>
        <w:t xml:space="preserve">Research in the Sociology of Organizations: A Research Annual</w:t>
      </w:r>
      <w:r>
        <w:t xml:space="preserve"> </w:t>
      </w:r>
      <w:r>
        <w:t xml:space="preserve">1–47.</w:t>
      </w:r>
    </w:p>
    <w:bookmarkEnd w:id="247"/>
    <w:bookmarkStart w:id="248" w:name="ref-Zucker1986Production"/>
    <w:p>
      <w:pPr>
        <w:pStyle w:val="Bibliography"/>
      </w:pPr>
      <w:r>
        <w:t xml:space="preserve">Zucker, Lynne G. 1986. “Production of Trust: Institutional Sources of Economic Structure, 1840-1920.”</w:t>
      </w:r>
      <w:r>
        <w:t xml:space="preserve"> </w:t>
      </w:r>
      <w:r>
        <w:rPr>
          <w:i/>
        </w:rPr>
        <w:t xml:space="preserve">Research in Organizational Behavior</w:t>
      </w:r>
      <w:r>
        <w:t xml:space="preserve"> </w:t>
      </w:r>
      <w:r>
        <w:t xml:space="preserve">8:53–111.</w:t>
      </w:r>
    </w:p>
    <w:bookmarkEnd w:id="248"/>
    <w:bookmarkStart w:id="249" w:name="ref-Zucker2019Institutional"/>
    <w:p>
      <w:pPr>
        <w:pStyle w:val="Bibliography"/>
      </w:pPr>
      <w:r>
        <w:t xml:space="preserve">Zucker, Lynne G. 2019. “Institutional Theory at a Crossroad.” in</w:t>
      </w:r>
      <w:r>
        <w:t xml:space="preserve"> </w:t>
      </w:r>
      <w:r>
        <w:rPr>
          <w:i/>
        </w:rPr>
        <w:t xml:space="preserve">AOM OMT Distinguished Scholar Lecture</w:t>
      </w:r>
      <w:r>
        <w:t xml:space="preserve">. Boston Hynes Convention Center.</w:t>
      </w:r>
    </w:p>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Or try its well-hidden</w:t>
      </w:r>
      <w:r>
        <w:t xml:space="preserve"> </w:t>
      </w:r>
      <w:hyperlink r:id="rId39">
        <w:r>
          <w:rPr>
            <w:rStyle w:val="Hyperlink"/>
          </w:rPr>
          <w:t xml:space="preserve">interactive easter egg</w:t>
        </w:r>
      </w:hyperlink>
      <w:r>
        <w:t xml:space="preserve">.</w:t>
      </w:r>
    </w:p>
  </w:footnote>
  <w:footnote w:id="46">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5">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2">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3">
    <w:p>
      <w:pPr>
        <w:pStyle w:val="FootnoteText"/>
      </w:pPr>
      <w:r>
        <w:rPr>
          <w:rStyle w:val="FootnoteReference"/>
        </w:rPr>
        <w:footnoteRef/>
      </w:r>
      <w:r>
        <w:t xml:space="preserve"> </w:t>
      </w:r>
      <w:r>
        <w:t xml:space="preserve">www.jstor.org/stable/10.2307/27909026</w:t>
      </w:r>
    </w:p>
  </w:footnote>
  <w:footnote w:id="75">
    <w:p>
      <w:pPr>
        <w:pStyle w:val="FootnoteText"/>
      </w:pPr>
      <w:r>
        <w:rPr>
          <w:rStyle w:val="FootnoteReference"/>
        </w:rPr>
        <w:footnoteRef/>
      </w:r>
      <w:r>
        <w:t xml:space="preserve"> </w:t>
      </w:r>
      <w:r>
        <w:t xml:space="preserve">www.jstor.org/stable/10.2307/43795866</w:t>
      </w:r>
    </w:p>
  </w:footnote>
  <w:footnote w:id="84">
    <w:p>
      <w:pPr>
        <w:pStyle w:val="FootnoteText"/>
      </w:pPr>
      <w:r>
        <w:rPr>
          <w:rStyle w:val="FootnoteReference"/>
        </w:rPr>
        <w:footnoteRef/>
      </w:r>
      <w:r>
        <w:t xml:space="preserve"> </w:t>
      </w:r>
      <w:r>
        <w:t xml:space="preserve">www.jstor.org/stable/10.2307/j.ctt1bhkpdr.8</w:t>
      </w:r>
    </w:p>
  </w:footnote>
  <w:footnote w:id="116">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 w:id="147">
    <w:p>
      <w:pPr>
        <w:pStyle w:val="FootnoteText"/>
      </w:pPr>
      <w:r>
        <w:rPr>
          <w:rStyle w:val="FootnoteReference"/>
        </w:rPr>
        <w:footnoteRef/>
      </w:r>
      <w:r>
        <w:t xml:space="preserve"> </w:t>
      </w:r>
      <w:r>
        <w:t xml:space="preserve">Calculated by a robust linear regression, which penalizes the effect of the outliers, of the logarithm of the annual count. Regression table available upon request.</w:t>
      </w:r>
    </w:p>
  </w:footnote>
  <w:footnote w:id="157">
    <w:p>
      <w:pPr>
        <w:pStyle w:val="FootnoteText"/>
      </w:pPr>
      <w:r>
        <w:rPr>
          <w:rStyle w:val="FootnoteReference"/>
        </w:rPr>
        <w:footnoteRef/>
      </w:r>
      <w:r>
        <w:t xml:space="preserve"> </w:t>
      </w:r>
      <w:r>
        <w:t xml:space="preserve">The PDFs were downloaded one at a time over several weeks during July of 2018 in full compliance with the JSTOR terms of use which prohibit automation or web scraping.</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96" Target="media/rId9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27" Target="media/rId127.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125" Target="media/rId125.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02" Target="media/rId102.png" /><Relationship Type="http://schemas.openxmlformats.org/officeDocument/2006/relationships/image" Id="rId92" Target="media/rId92.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29" Target="media/rId129.png" /><Relationship Type="http://schemas.openxmlformats.org/officeDocument/2006/relationships/image" Id="rId97" Target="media/rId9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134" Target="media/rId134.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146" Target="media/rId146.png" /><Relationship Type="http://schemas.openxmlformats.org/officeDocument/2006/relationships/image" Id="rId159" Target="media/rId159.png" /><Relationship Type="http://schemas.openxmlformats.org/officeDocument/2006/relationships/image" Id="rId149" Target="media/rId149.png" /><Relationship Type="http://schemas.openxmlformats.org/officeDocument/2006/relationships/image" Id="rId165" Target="media/rId165.png" /><Relationship Type="http://schemas.openxmlformats.org/officeDocument/2006/relationships/image" Id="rId150" Target="media/rId150.png" /><Relationship Type="http://schemas.openxmlformats.org/officeDocument/2006/relationships/image" Id="rId145" Target="media/rId145.png" /><Relationship Type="http://schemas.openxmlformats.org/officeDocument/2006/relationships/image" Id="rId143" Target="media/rId143.png" /><Relationship Type="http://schemas.openxmlformats.org/officeDocument/2006/relationships/image" Id="rId160" Target="media/rId160.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51" Target="media/rId151.png" /><Relationship Type="http://schemas.openxmlformats.org/officeDocument/2006/relationships/image" Id="rId144" Target="media/rId144.png" /><Relationship Type="http://schemas.openxmlformats.org/officeDocument/2006/relationships/image" Id="rId152" Target="media/rId152.png" /><Relationship Type="http://schemas.openxmlformats.org/officeDocument/2006/relationships/image" Id="rId142" Target="media/rId142.png" /><Relationship Type="http://schemas.openxmlformats.org/officeDocument/2006/relationships/image" Id="rId137" Target="media/rId137.jpg" /><Relationship Type="http://schemas.openxmlformats.org/officeDocument/2006/relationships/image" Id="rId44" Target="media/rId44.png" /><Relationship Type="http://schemas.openxmlformats.org/officeDocument/2006/relationships/image" Id="rId68" Target="media/rId68.png" /><Relationship Type="http://schemas.openxmlformats.org/officeDocument/2006/relationships/image" Id="rId111" Target="media/rId111.png" /><Relationship Type="http://schemas.openxmlformats.org/officeDocument/2006/relationships/image" Id="rId61" Target="media/rId61.png" /><Relationship Type="http://schemas.openxmlformats.org/officeDocument/2006/relationships/image" Id="rId77" Target="media/rId77.png" /><Relationship Type="http://schemas.openxmlformats.org/officeDocument/2006/relationships/image" Id="rId101" Target="media/rId101.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173" Target="media/rId173.png" /><Relationship Type="http://schemas.openxmlformats.org/officeDocument/2006/relationships/image" Id="rId22" Target="media/rId22.gif" /><Relationship Type="http://schemas.openxmlformats.org/officeDocument/2006/relationships/hyperlink" Id="rId21" Target="https://brooksambrose.github.io/portfolio" TargetMode="External" /><Relationship Type="http://schemas.openxmlformats.org/officeDocument/2006/relationships/hyperlink" Id="rId128" Target="https://brooksambrose.github.io/portfolio/exh/gen-samp.html" TargetMode="External" /><Relationship Type="http://schemas.openxmlformats.org/officeDocument/2006/relationships/hyperlink" Id="rId39" Target="https://brooksambrose.github.io/portfolio/exh/isl3d.html" TargetMode="External" /><Relationship Type="http://schemas.openxmlformats.org/officeDocument/2006/relationships/hyperlink" Id="rId107" Target="https://brooksambrose.github.io/portfolio/exh/jourchi.html" TargetMode="External" /><Relationship Type="http://schemas.openxmlformats.org/officeDocument/2006/relationships/hyperlink" Id="rId37" Target="https://brooksambrose.github.io/portfolio/exh/kcc2tree.html" TargetMode="External" /><Relationship Type="http://schemas.openxmlformats.org/officeDocument/2006/relationships/hyperlink" Id="rId53" Target="https://brooksambrose.github.io/portfolio/exh/layouts.html" TargetMode="External" /><Relationship Type="http://schemas.openxmlformats.org/officeDocument/2006/relationships/hyperlink" Id="rId130" Target="https://brooksambrose.github.io/portfolio/exh/sociology.html" TargetMode="External" /><Relationship Type="http://schemas.openxmlformats.org/officeDocument/2006/relationships/hyperlink" Id="rId172" Target="https://brooksambrose.github.io/portfolio/exh/viz/index.html" TargetMode="External" /><Relationship Type="http://schemas.openxmlformats.org/officeDocument/2006/relationships/hyperlink" Id="rId86" Target="https://brooksambrose.github.io/portfolio/exh/worstterms.html" TargetMode="External" /><Relationship Type="http://schemas.openxmlformats.org/officeDocument/2006/relationships/hyperlink" Id="rId110" Target="https://brooksambrose.github.io/portfolio/ldaviz/viz/index.html" TargetMode="External" /><Relationship Type="http://schemas.openxmlformats.org/officeDocument/2006/relationships/hyperlink" Id="rId133" Target="www.jstor.org/stable/10.2307/24384502" TargetMode="External" /><Relationship Type="http://schemas.openxmlformats.org/officeDocument/2006/relationships/hyperlink" Id="rId132" Target="www.jstor.org/stable/10.2307/836786" TargetMode="External" /></Relationships>
</file>

<file path=word/_rels/footnotes.xml.rels><?xml version="1.0" encoding="UTF-8"?>
<Relationships xmlns="http://schemas.openxmlformats.org/package/2006/relationships"><Relationship Type="http://schemas.openxmlformats.org/officeDocument/2006/relationships/hyperlink" Id="rId21" Target="https://brooksambrose.github.io/portfolio" TargetMode="External" /><Relationship Type="http://schemas.openxmlformats.org/officeDocument/2006/relationships/hyperlink" Id="rId128" Target="https://brooksambrose.github.io/portfolio/exh/gen-samp.html" TargetMode="External" /><Relationship Type="http://schemas.openxmlformats.org/officeDocument/2006/relationships/hyperlink" Id="rId39" Target="https://brooksambrose.github.io/portfolio/exh/isl3d.html" TargetMode="External" /><Relationship Type="http://schemas.openxmlformats.org/officeDocument/2006/relationships/hyperlink" Id="rId107" Target="https://brooksambrose.github.io/portfolio/exh/jourchi.html" TargetMode="External" /><Relationship Type="http://schemas.openxmlformats.org/officeDocument/2006/relationships/hyperlink" Id="rId37" Target="https://brooksambrose.github.io/portfolio/exh/kcc2tree.html" TargetMode="External" /><Relationship Type="http://schemas.openxmlformats.org/officeDocument/2006/relationships/hyperlink" Id="rId53" Target="https://brooksambrose.github.io/portfolio/exh/layouts.html" TargetMode="External" /><Relationship Type="http://schemas.openxmlformats.org/officeDocument/2006/relationships/hyperlink" Id="rId130" Target="https://brooksambrose.github.io/portfolio/exh/sociology.html" TargetMode="External" /><Relationship Type="http://schemas.openxmlformats.org/officeDocument/2006/relationships/hyperlink" Id="rId172" Target="https://brooksambrose.github.io/portfolio/exh/viz/index.html" TargetMode="External" /><Relationship Type="http://schemas.openxmlformats.org/officeDocument/2006/relationships/hyperlink" Id="rId86" Target="https://brooksambrose.github.io/portfolio/exh/worstterms.html" TargetMode="External" /><Relationship Type="http://schemas.openxmlformats.org/officeDocument/2006/relationships/hyperlink" Id="rId110" Target="https://brooksambrose.github.io/portfolio/ldaviz/viz/index.html" TargetMode="External" /><Relationship Type="http://schemas.openxmlformats.org/officeDocument/2006/relationships/hyperlink" Id="rId133" Target="www.jstor.org/stable/10.2307/24384502" TargetMode="External" /><Relationship Type="http://schemas.openxmlformats.org/officeDocument/2006/relationships/hyperlink" Id="rId132" Target="www.jstor.org/stable/10.2307/8367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2019-10-29T06:03:12Z</dcterms:created>
  <dcterms:modified xsi:type="dcterms:W3CDTF">2019-10-29T06:03:12Z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asa.csl</vt:lpwstr>
  </property>
  <property fmtid="{D5CDD505-2E9C-101B-9397-08002B2CF9AE}" pid="4" name="css">
    <vt:lpwstr>style.css</vt:lpwstr>
  </property>
  <property fmtid="{D5CDD505-2E9C-101B-9397-08002B2CF9AE}" pid="5" name="date">
    <vt:lpwstr>2019-10-29</vt:lpwstr>
  </property>
  <property fmtid="{D5CDD505-2E9C-101B-9397-08002B2CF9AE}" pid="6" name="documentclass">
    <vt:lpwstr>book</vt:lpwstr>
  </property>
  <property fmtid="{D5CDD505-2E9C-101B-9397-08002B2CF9AE}" pid="7" name="header-includes">
    <vt:lpwstr/>
  </property>
  <property fmtid="{D5CDD505-2E9C-101B-9397-08002B2CF9AE}" pid="8" name="indent">
    <vt:lpwstr>yes</vt:lpwstr>
  </property>
  <property fmtid="{D5CDD505-2E9C-101B-9397-08002B2CF9AE}" pid="9" name="linestretch">
    <vt:lpwstr>2</vt:lpwstr>
  </property>
  <property fmtid="{D5CDD505-2E9C-101B-9397-08002B2CF9AE}" pid="10" name="link-citations">
    <vt:lpwstr>yes</vt:lpwstr>
  </property>
  <property fmtid="{D5CDD505-2E9C-101B-9397-08002B2CF9AE}" pid="11" name="lof">
    <vt:lpwstr>yes</vt:lpwstr>
  </property>
  <property fmtid="{D5CDD505-2E9C-101B-9397-08002B2CF9AE}" pid="12" name="lot">
    <vt:lpwstr>yes</vt:lpwstr>
  </property>
  <property fmtid="{D5CDD505-2E9C-101B-9397-08002B2CF9AE}" pid="13" name="mainfont">
    <vt:lpwstr>FreeSerif</vt:lpwstr>
  </property>
  <property fmtid="{D5CDD505-2E9C-101B-9397-08002B2CF9AE}" pid="14" name="site">
    <vt:lpwstr>bookdown::bookdown_site</vt:lpwstr>
  </property>
</Properties>
</file>