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6.png" ContentType="image/png"/>
  <Override PartName="/word/media/rId67.png" ContentType="image/png"/>
  <Override PartName="/word/media/rId54.png" ContentType="image/png"/>
  <Override PartName="/word/media/rId52.png" ContentType="image/png"/>
  <Override PartName="/word/media/rId58.png" ContentType="image/png"/>
  <Override PartName="/word/media/rId60.png" ContentType="image/png"/>
  <Override PartName="/word/media/rId64.png" ContentType="image/png"/>
  <Override PartName="/word/media/rId35.png" ContentType="image/png"/>
  <Override PartName="/word/media/rId36.png" ContentType="image/png"/>
  <Override PartName="/word/media/rId46.png" ContentType="image/png"/>
  <Override PartName="/word/media/rId69.png" ContentType="image/png"/>
  <Override PartName="/word/media/rId37.png" ContentType="image/png"/>
  <Override PartName="/word/media/rId55.png" ContentType="image/png"/>
  <Override PartName="/word/media/rId62.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occurrences a year. However, during the period from 1985 to 2008 the rate of change, though always steep, began to decline by an average of 238.3 occurrences a year. Like a projectile that is simultaneously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3315014"/>
            <wp:effectExtent b="0" l="0" r="0" t="0"/>
            <wp:docPr descr="Figure 4 Wordcloud of third term in 3gram beginning with “genre of”." title="" id="1" name="Picture"/>
            <a:graphic>
              <a:graphicData uri="http://schemas.openxmlformats.org/drawingml/2006/picture">
                <pic:pic>
                  <pic:nvPicPr>
                    <pic:cNvPr descr="img/genre-goog.png" id="0" name="Picture"/>
                    <pic:cNvPicPr>
                      <a:picLocks noChangeArrowheads="1" noChangeAspect="1"/>
                    </pic:cNvPicPr>
                  </pic:nvPicPr>
                  <pic:blipFill>
                    <a:blip r:embed="rId37"/>
                    <a:stretch>
                      <a:fillRect/>
                    </a:stretch>
                  </pic:blipFill>
                  <pic:spPr bwMode="auto">
                    <a:xfrm>
                      <a:off x="0" y="0"/>
                      <a:ext cx="5334000" cy="3315014"/>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subversive of even more arbitrary club rules, namely those of educational pedigree, such that anyone willing to invest in a presentation of the genre definition will be granted access to the venues, if not the invisible colleges, of the subfield. To be admitted to the arena is no guarantee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 For all the lack of due diligence in the use of ritual citations, their socially understood meanings are better than the thoroughly perfunctory citation, those included because they were returned by a digital reference service and never read by anyone.</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 is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as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each topic. A document with topic probabilities .7 from music and .3 from film would be expected to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in a very limited sense. What the topic model really represents is how vocabularies are organized to condition an author’s diction. A vocabulary can be thought of as an infrastructure of meaning more trivial than grammar or syntax and much more trivial than concepts or ideas.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 Alpha values close to zero make it very likely that documents are composed of only one topic, while an alpha value greater than one increase the chance that a document will be decomposed into several topics. Alpha equal to one creates no tendency, so concentrated and diffuse mixtures are all equally likely to occur. It would behoove a researcher to make an informed decision about this parameter, yet software often sets an arbitrary default that the user may or may not be fully aware of.</w:t>
      </w:r>
    </w:p>
    <w:p>
      <w:pPr>
        <w:pStyle w:val="Heading4"/>
      </w:pPr>
      <w:bookmarkStart w:id="45" w:name="choosing-k"/>
      <w:r>
        <w:t xml:space="preserve">Choosing K</w:t>
      </w:r>
      <w:bookmarkEnd w:id="45"/>
    </w:p>
    <w:p>
      <w:pPr>
        <w:pStyle w:val="FirstParagraph"/>
      </w:pPr>
      <w:r>
        <w:t xml:space="preserve">Finally, topic models require the analyst to choose the number of topics K. The approach we take to guiding this decision is not to expect one correct specification of K but rather to see it as a changing resolution. A K=2 model usefully bifurcates the sample and is not simply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Between model cross-validation means that document and term groupings should be relatively stable as K increases. The document overlaps between, say, a three topic model and a four topic model should not be random. By graphing the document overlaps between pseudo hierarchically organized models, it should be clear which topics are the most stable and which are constituted partly by chance or by spurious association. An ensemble approach would then recommend itself; if the content of a topic is stable across different specifications of K, within limits, then we should have even more confidence in that topic.</w:t>
      </w:r>
    </w:p>
    <w:p>
      <w:pPr>
        <w:pStyle w:val="BodyText"/>
      </w:pPr>
      <w:r>
        <w:t xml:space="preserve">When parameter space is limited the content with the strongest signal will come to define the topic, but the document by term vector will be contaminated with content that would be separated given more space. For sets of documents that are constituted by multiple true topics, we expect to see splitting of larger topics as the resolution increases to meet the real diversity. Hierarchy will reveal itself as topics with stronger topic signals subsume weaker ones until K reaches a point where there is enough space to separate them. On the other hand, in the classic trade-off between variance and bias, where K overshoots the true number of topics, we expect to see random splitting and possibly</w:t>
      </w:r>
      <w:r>
        <w:t xml:space="preserve"> </w:t>
      </w:r>
      <w:r>
        <w:t xml:space="preserve">“</w:t>
      </w:r>
      <w:r>
        <w:t xml:space="preserve">dust bin</w:t>
      </w:r>
      <w:r>
        <w:t xml:space="preserve">”</w:t>
      </w:r>
      <w:r>
        <w:t xml:space="preserve"> </w:t>
      </w:r>
      <w:r>
        <w:t xml:space="preserve">effects where spare topics allow larger topics to prune their weaker term associations.</w:t>
      </w:r>
    </w:p>
    <w:p>
      <w:pPr>
        <w:pStyle w:val="BodyText"/>
      </w:pPr>
      <w:r>
        <w:t xml:space="preserve">Another interesting feature of this approach is that it shows when and how topics are able to appear given the parameter space constraints. We expect the most dominant topics, those that appear at low K and remain stable as K increases, to derive from vocabularies that are both distinctive and used often. The content with the strongest signal will be</w:t>
      </w:r>
      <w:r>
        <w:t xml:space="preserve"> </w:t>
      </w:r>
      <w:r>
        <w:t xml:space="preserve">“</w:t>
      </w:r>
      <w:r>
        <w:t xml:space="preserve">FREX</w:t>
      </w:r>
      <w:r>
        <w:t xml:space="preserve">”</w:t>
      </w:r>
      <w:r>
        <w:t xml:space="preserve"> </w:t>
      </w:r>
      <w:r>
        <w:t xml:space="preserve">terms, terms that are both frequent and exclusive</w:t>
      </w:r>
      <w:r>
        <w:t xml:space="preserve"> </w:t>
      </w:r>
      <w:r>
        <w:t xml:space="preserve">(Bischof and Airoldi</w:t>
      </w:r>
      <w:r>
        <w:t xml:space="preserve"> </w:t>
      </w:r>
      <w:hyperlink w:anchor="ref-Bischof2012Summarizing">
        <w:r>
          <w:rPr>
            <w:rStyle w:val="Hyperlink"/>
          </w:rPr>
          <w:t xml:space="preserve">2012</w:t>
        </w:r>
      </w:hyperlink>
      <w:r>
        <w:t xml:space="preserve">)</w:t>
      </w:r>
      <w:r>
        <w:t xml:space="preserve">. Frequent means they have high counts in the overall corpus either due to occurence across many texts or to very large counts in a few texts. Exclusivity (or monosemy, the opposite of polysemy) means that terms co-occur with an invariable set of additional terms. Exclusivity is related to the notion of anchor words that are maximally exclusive, appearing in only one topic, but likely very infrequent.The exclusivity of terms relates to the separability of topics</w:t>
      </w:r>
      <w:r>
        <w:t xml:space="preserve"> </w:t>
      </w:r>
      <w:r>
        <w:t xml:space="preserve">(Arora et al.</w:t>
      </w:r>
      <w:r>
        <w:t xml:space="preserve"> </w:t>
      </w:r>
      <w:hyperlink w:anchor="ref-Arora2018Learning">
        <w:r>
          <w:rPr>
            <w:rStyle w:val="Hyperlink"/>
          </w:rPr>
          <w:t xml:space="preserve">2018</w:t>
        </w:r>
      </w:hyperlink>
      <w:r>
        <w:t xml:space="preserve">)</w:t>
      </w:r>
      <w:r>
        <w:t xml:space="preserve">, while the topic frequency of terms relates to the topic’s contribution to explaining global corpus frequencies, that is, to maximizing an objective function during estimation.</w:t>
      </w:r>
    </w:p>
    <w:p>
      <w:pPr>
        <w:pStyle w:val="BodyText"/>
      </w:pPr>
      <w:r>
        <w:t xml:space="preserve">It should be possible to predict a priority for topic emergence as models increase parameter space for topics. First, we expect topic model estimators would be very tuned to picking out even a handful of texts written in a different language than the main corpus, as terms within those documents would be both frequent and exclusive. We should expect technical jargon to also send a strong signal for it’s high exclusivity. Indeed, these special vocabularies are salient for both humans and machines for the same reason; they are easy to disassociate from the rest of the text. The priority, however, for the estimators will be to explain global term frequencies, so jargon will likely be behind frequent terms that appear across multiple topics, as in the case of polysemy or the more common case of simple language ambiguity. Trailing the pack and the last to emerge will be, as we have discussed, idiosyncracy.</w:t>
      </w:r>
    </w:p>
    <w:p>
      <w:pPr>
        <w:pStyle w:val="BodyText"/>
      </w:pPr>
      <w:r>
        <w:drawing>
          <wp:inline>
            <wp:extent cx="5334000" cy="2002622"/>
            <wp:effectExtent b="0" l="0" r="0" t="0"/>
            <wp:docPr descr="" title="" id="1" name="Picture"/>
            <a:graphic>
              <a:graphicData uri="http://schemas.openxmlformats.org/drawingml/2006/picture">
                <pic:pic>
                  <pic:nvPicPr>
                    <pic:cNvPr descr="img/frex.png" id="0" name="Picture"/>
                    <pic:cNvPicPr>
                      <a:picLocks noChangeArrowheads="1" noChangeAspect="1"/>
                    </pic:cNvPicPr>
                  </pic:nvPicPr>
                  <pic:blipFill>
                    <a:blip r:embed="rId46"/>
                    <a:stretch>
                      <a:fillRect/>
                    </a:stretch>
                  </pic:blipFill>
                  <pic:spPr bwMode="auto">
                    <a:xfrm>
                      <a:off x="0" y="0"/>
                      <a:ext cx="5334000" cy="2002622"/>
                    </a:xfrm>
                    <a:prstGeom prst="rect">
                      <a:avLst/>
                    </a:prstGeom>
                    <a:noFill/>
                    <a:ln w="9525">
                      <a:noFill/>
                      <a:headEnd/>
                      <a:tailEnd/>
                    </a:ln>
                  </pic:spPr>
                </pic:pic>
              </a:graphicData>
            </a:graphic>
          </wp:inline>
        </w:drawing>
      </w:r>
    </w:p>
    <w:p>
      <w:pPr>
        <w:pStyle w:val="BodyText"/>
      </w:pPr>
      <w:r>
        <w:t xml:space="preserve">Indeed we may never expect idiosycracy to emerge as its own topic except in the limiting case. Presumably K can be set so high as to approach the saturation point of a topic for each document. In this event topics that would otherwise appear in common may alter to represent the uncommon parts of a document, and the topic would merely reproduce the term distribution of a particular document. Thus there is a transition from content in common to content idiosyncratic to groups of trivial size and to individual texts in the limiting case. The model is unable to ignore supposedly idiosyncratic content, and will thus find a way to classify it among topics in common, effectively distorting the term vector of those topics. There may be no objective point at which the content in common is neatly separable from the idiosyncratic content; indeed common content evolves only by idiosyncratic innovation. Our ensemble approach allows us to observe how particular content moves among topics as parameter space opens up.</w:t>
      </w:r>
    </w:p>
    <w:p>
      <w:pPr>
        <w:pStyle w:val="BodyText"/>
      </w:pPr>
      <w:r>
        <w:t xml:space="preserve">Finally, there are sparse model estimation techniques that may ameliorate some of the considerations above. Sparse models, such as those using the L1 or LASSO constraint, bias parameters downward and thus may set trivial regression coefficients nearer to zero. Such an approach may well fail to represent idiosyncracy at all, which is either a benefit or a hazard. Such a biased model would, by effacing the idiosyncratic portions, yield topics representing only the common portions of documents. This avoids what we have termed contamination at the cost of losing information that we may care about. Thus for sparse model techniques to be used responsibly document residuals would need to be calculated to help recover the unmodeled portions of the texts. The model diagnostics we explore below attempt to separate model parameters into common and idiosyncratic elements, the difference being whether the idiosyncrasy is located in the topic model or in the residuals.</w:t>
      </w:r>
    </w:p>
    <w:p>
      <w:pPr>
        <w:pStyle w:val="Heading4"/>
      </w:pPr>
      <w:bookmarkStart w:id="47" w:name="bias"/>
      <w:r>
        <w:t xml:space="preserve">Bias</w:t>
      </w:r>
      <w:bookmarkEnd w:id="47"/>
    </w:p>
    <w:p>
      <w:pPr>
        <w:pStyle w:val="FirstParagraph"/>
      </w:pPr>
      <w:r>
        <w:t xml:space="preserve">Before documenting the data preparation below, it is important to keep in mind several sampling and modeling considerations that tend to be overlooked. First, idiosyncrasy is assumed to be unmodelable. A flaw of traditional topic models is that, at one level, all documents are generic. Originality exists only in novel admixtures of vocabularies held in common. Vocabularies that are limited to trivially small sets of works, be they idiosyncrasies of content or style, become sources of bias to topic model estimators. Because idiosyncratic vocabulary is be definition rare, it lacks both the mass of frequency and distribution across documents to be reliably picked up as a topic. Indeed, if each document were expected to contain some idiosyncrasy, then the number of topics needed to catch all of the idiosyncrasy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parameters space and would collide with hyperparameters designed to militate against estimating topics distributed only over a single document.</w:t>
      </w:r>
    </w:p>
    <w:p>
      <w:pPr>
        <w:pStyle w:val="BodyText"/>
      </w:pPr>
      <w:r>
        <w:t xml:space="preserve">The impracticality from a modeling perspective of representing idiosyncrasy coincides with the undertheorized tendency among researchers for extreme pruning of idiosyncrasy during data preparation. A more parsimonious modeling solution would be to allow a single extra topic designed to catch all idiosyncrasy.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 N uncorrelated subtopics.</w:t>
      </w:r>
    </w:p>
    <w:p>
      <w:pPr>
        <w:pStyle w:val="BodyText"/>
      </w:pPr>
      <w:r>
        <w:t xml:space="preserve">Idiosyncrasy tends to be pruned in a desire to limit the length of the vocabulary to bring it within the bounds of computational power and the chances of a successful parameter optimization. Depending on the task, however, the researcher may not be so concerned with performance, and may leave plenty of idiosyncrasy in the sample. What then is the effect on the topic estimation of such idiosyncrasy, since the idiosyncrasy must end up somewhere?</w:t>
      </w:r>
    </w:p>
    <w:p>
      <w:pPr>
        <w:pStyle w:val="BodyText"/>
      </w:pPr>
      <w:r>
        <w:t xml:space="preserve">First, there will be a tendency to muddy the content of common topics with the particular idiosyncrasies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estimates of the true terms in the topic.</w:t>
      </w:r>
    </w:p>
    <w:p>
      <w:pPr>
        <w:pStyle w:val="BodyText"/>
      </w:pPr>
      <w:r>
        <w:t xml:space="preserve">Second, the document proportion of the contaminated topic will be inflated in the contaminating document. After all, the idiosyncrasy of the document was represented, erroneously, in the contaminated topic. Because of the length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idiosyncrasy was placed in topics randomly. Contrary to the effect of random error in an explanatory variable in ordinary least squares linear regression, which is to bias the regression coefficient downward, in a topic model the effect will be to bias the topic probability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criticism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interpretation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probability terms normally associated with the topic’s meaning.</w:t>
      </w:r>
    </w:p>
    <w:p>
      <w:pPr>
        <w:pStyle w:val="Heading3"/>
      </w:pPr>
      <w:bookmarkStart w:id="48" w:name="qualitative-cross-validation"/>
      <w:r>
        <w:t xml:space="preserve">Qualitative Cross Validation</w:t>
      </w:r>
      <w:bookmarkEnd w:id="48"/>
    </w:p>
    <w:p>
      <w:pPr>
        <w:pStyle w:val="FirstParagraph"/>
      </w:pPr>
      <w:r>
        <w:t xml:space="preserve">To be sure, topic model parameters may be biased by misspecification, and if we are being fair, by the gargantuan task we ask of them. In part because topic models, notwithstanding their decades of development, remain difficult to validate statistically, and in part because educated people scoff at the idea of machine reading, many researchers ultimately rely on qualitative interpretation to evaluate model quality. Goodness of fit means that topics pass a sniff test upon inspection. A list of a words either does or does not inspire a theory of meaningful content, and this theory either is or is not confirmed upon inspection of document with a highly ranked topic probability.</w:t>
      </w:r>
    </w:p>
    <w:p>
      <w:pPr>
        <w:pStyle w:val="BodyText"/>
      </w:pPr>
      <w:r>
        <w:t xml:space="preserve">The same scholars who promote qualitative cross validation (QCV) would presumably have bet on John Henry rather than the steam drill. The arguments against the machine, which excels only at recognition, is that it is a ham-fisted intruder into the delicacies of sensemaking, semantics, and interpretation. Meaning operates very differently from information namely by bringing grounding to the response to information. One example of grounding is spreading activation, that when information is presented to the mind by sensation, the mind responds by representing not only a construct of the stimulus but also a network of constructs adjacent in memory to the stimulus. Simply, humans see more than they perceive, but machines cannot.</w:t>
      </w:r>
    </w:p>
    <w:p>
      <w:pPr>
        <w:pStyle w:val="BodyText"/>
      </w:pPr>
      <w:r>
        <w:t xml:space="preserve">To permit an aside, that machines are dumb because they can only recognize information rather than interpret meaning is almost but not quite unfair to machines. In machine learning the analog to memory, be it treated as semantic grounding or anything else, is mathematical model representation, and the analog to learning is a Bayesian updating of old models with new data. A machine seeing new data with an old model can indeed see more than it perceives. At this moment in the era of computational social science, however, researchers train models for the first time on the data they wish to explain. It is theoretically possible to communicate and transport models from past to present researchers, however this is not done in practice for lack of infrastructure and more importantly because social scientists rarely study the same thing twice. Where data are ample it is possible to simulate a history of memory for the machine using hold out techniques where a model is trained on one sample of the data and applied to predict another sample. Where the goal is to maximize prediction, training and hold out samples are randomly selected. A different approach</w:t>
      </w:r>
      <w:r>
        <w:t xml:space="preserve"> </w:t>
      </w:r>
      <w:r>
        <w:t xml:space="preserve">(e.g. Nay</w:t>
      </w:r>
      <w:r>
        <w:t xml:space="preserve"> </w:t>
      </w:r>
      <w:hyperlink w:anchor="ref-Nay2017Predicting">
        <w:r>
          <w:rPr>
            <w:rStyle w:val="Hyperlink"/>
          </w:rPr>
          <w:t xml:space="preserve">2017</w:t>
        </w:r>
      </w:hyperlink>
      <w:r>
        <w:t xml:space="preserve">)</w:t>
      </w:r>
      <w:r>
        <w:t xml:space="preserve"> </w:t>
      </w:r>
      <w:r>
        <w:t xml:space="preserve">involves selecting training and hold out as a process in time. This is a closer approximation to human memory, as humans always approach the present only armed with a memory of the past.</w:t>
      </w:r>
    </w:p>
    <w:p>
      <w:pPr>
        <w:pStyle w:val="BodyText"/>
      </w:pPr>
      <w:r>
        <w:t xml:space="preserve">As clever as the time sorted hold out strategy is, it is unlikely to outperform a supervised approach to model validation wherein human judgements serve either as diagnostics or training materials for model fitting. Human culture is far too expansive to be modeled by a computer for no simpler reason than the data of human memory are always rapidly lost and what is retained is selected for arbitrary historical reasons. What makes the contest between John Henry and the steam drill interesting in the modern era is the social problem of cultural reproduction. Machines will outperform humans only where human history is made more accessible to machines than to humans, which may be a join function of the success of digital archiving coupled with the deterioration of human education.</w:t>
      </w:r>
    </w:p>
    <w:p>
      <w:pPr>
        <w:pStyle w:val="BodyText"/>
      </w:pPr>
      <w:r>
        <w:t xml:space="preserve">To return to the case of topic models, some advocates for the machine go so far as to claim that the topic model actually recovers semantic context</w:t>
      </w:r>
      <w:r>
        <w:t xml:space="preserve"> </w:t>
      </w:r>
      <w:r>
        <w:t xml:space="preserve">(DiMaggio et al.</w:t>
      </w:r>
      <w:r>
        <w:t xml:space="preserve"> </w:t>
      </w:r>
      <w:hyperlink w:anchor="ref-DiMaggio2013Exploiting">
        <w:r>
          <w:rPr>
            <w:rStyle w:val="Hyperlink"/>
          </w:rPr>
          <w:t xml:space="preserve">2013</w:t>
        </w:r>
      </w:hyperlink>
      <w:r>
        <w:t xml:space="preserve">:578)</w:t>
      </w:r>
      <w:r>
        <w:t xml:space="preserve">. Semantic context is a more specialized notion than memory, and it refers to the human capacity for reproducing common meaning. In language viewed through a topic model a large collection of terms defines the topic while only a sample of these terms will be observed in a particular document. In this sense the topic model fills in missing information in the way that meaningful interpretation works. This notion rests on a very strong assumption, however, which is that information tacit in a particular case is explicit in a different case, indeed a quorum of different cases, and that the cases overlap enough to become included under the same topic. This feature would seem to compete against the other feature of polysemy, that a term may appear in multiple topics each with a different context. How does the machine know that a particular term distribution (document) is a case of missing grounding within the same topic as another document, or is in fact a different topic with a different context?</w:t>
      </w:r>
    </w:p>
    <w:p>
      <w:pPr>
        <w:pStyle w:val="BodyText"/>
      </w:pPr>
      <w:r>
        <w:t xml:space="preserve">Of course the machine knows nothing other than how to maximize an objective function. Estimators are designed to select random solutions and update them in the direction of better models. Indeed, it is the hyperparameter choices of the researcher that decide often decide which research approaches will win out. For example, the question of whether or not a topic model detects polysemy is governed by the choice of the sigma prior, which controls topic correlations, where a constraint toward low topic correlations prohibits detection of polysemy. The current state of software discourages an understanding of how hyperparameter tuning relates to a particular research agenda, and this opacity to the method is a strong driver toward QCV.</w:t>
      </w:r>
    </w:p>
    <w:p>
      <w:pPr>
        <w:pStyle w:val="BodyText"/>
      </w:pPr>
      <w:r>
        <w:t xml:space="preserve">Cheap computing does make grid searching across hyperparameter settings possible, if not cost effective, but until this approach is usefully automated it is safe to assume that models will be misspecified in an unknown way, that the model is tuned in a particular arbitrary theoretical direction that is unknown to the researcher. Why would one believe that QCV would inoculate against the hidden bias imposed by the model? To be clear, a biased model is one that will present a vocabulary that</w:t>
      </w:r>
      <w:r>
        <w:t xml:space="preserve"> </w:t>
      </w:r>
      <w:r>
        <w:rPr>
          <w:i/>
        </w:rPr>
        <w:t xml:space="preserve">does not</w:t>
      </w:r>
      <w:r>
        <w:t xml:space="preserve"> </w:t>
      </w:r>
      <w:r>
        <w:t xml:space="preserve">represent the text accurately. In the conventional use of topic models, the researcher is eager to use the topic as a lens that both arranges documents into relevant subsets (a particular draw from the archive) and primes her interpretation of the documents content by a suggestive list of terms.</w:t>
      </w:r>
    </w:p>
    <w:p>
      <w:pPr>
        <w:pStyle w:val="BodyText"/>
      </w:pPr>
      <w:r>
        <w:t xml:space="preserve">We wish to keep two forms of QVC error in mind.</w:t>
      </w:r>
    </w:p>
    <w:p>
      <w:pPr>
        <w:pStyle w:val="BodyText"/>
      </w:pPr>
      <w:r>
        <w:t xml:space="preserve">The first is classification error. Continuous document by topic probabilities are interpreted categorically according to an explicit or tacit threshold of classification. Explicitly, one could analyze the global decay of topic probabilities and attempt to find natural empirical separations at threshold values. More commonly, the tacit satisficing criterion is met as one walks down the ranked list of documents and eventually decides that they have understood the topic. The error arises in the within-class generalization where classification quality has degraded in a continuous fashion (and past the point reached by our satisficed reader) yet such errors have been effaced by the hard classification rule. In short, by understanding the bellwethers, the researcher only partially understands the corpus and indeed only further mystifies the poorly classified stragglers. The</w:t>
      </w:r>
    </w:p>
    <w:p>
      <w:pPr>
        <w:pStyle w:val="BodyText"/>
      </w:pPr>
      <w:r>
        <w:t xml:space="preserve">It will help to visualize the statistical situation leading to this error. In the expected case of model misspecification, usually too few topics, we should also expect an urchin shaped quality distribution where on each topic spine are bellwether documents drawn out by their strong signal to be representative of the topic. As one descends the spine of each topic we will begin finding the poorly classified documents collected on the body of the urchin. These documents are representative of no topics, that is, equally representative of all or several topics. For a misspecified model, it is possible that a collection of these stragglers would be given a home in a model with an extra spine, that is, new parameter space for an extra topic. But without a topic to represent them, the analyst may make the mistake of a false generalization from bellwether to straggler documents. Such stragglers may even be halfway up the spine, assuring their classification but for the wrong reason: bellwether documents achieve their topic probability by virtue of words at the head of the sorted topic by term vector, whereas stragglers achieve their lesser but still above threshold topic probabilities from the meaningless long tail of the topic by term vector. This long tail, we must recall, contains terms that may have trivially small topic probabilities when considered separately, but when considered together, because the term vector is so long, their cumulative probability of the false segment of the vector may rival in classification power that of the true segment</w:t>
      </w:r>
    </w:p>
    <w:p>
      <w:pPr>
        <w:pStyle w:val="BodyText"/>
      </w:pPr>
      <w:r>
        <w:t xml:space="preserve">The second is confirmation bias. Readers tend to skim and scan documents more quickly and less carefully when they are told what they are about ahead of time. It is natural for researchers to want to examine the document by term vectors of the topics in order to understand the results of the model and apply the findings to solve research problems. These lists may be very evocative of theoretical assumptions and practical expectations about the corpus, which has not normally been read ahead of time. Theories of the meaning of the term lists are very likely to establish confirmation bias in the reading of the texts. This means that documents that have been classified by a satisficing or threshold rule will be read differently with a theory of the topic mind than they would have otherwise. Confirmation bias means that the analyst will have a tendency to focus on content that appears to conform to the topic theory while discounting content that contradicts it. Sometimes this will be warranted; after all, a feature of the model is the ability to classify documents into multiple topics. In the pathological case, however, the meaning of the document will be distorted to fit the theory of the topic. A model that causes the reader to misread a document is certainly not helpful, and the pull of confirmation bias tends to be strong even when one is aware of it.</w:t>
      </w:r>
    </w:p>
    <w:p>
      <w:pPr>
        <w:pStyle w:val="BodyText"/>
      </w:pPr>
      <w:r>
        <w:t xml:space="preserve">Fortunately we may adjust our research strategy to avoid each of these errors. First, to ameliorate the effects of misclassification, a simple concentration metric such as the Gini coefficient applied to the vector will help discriminate between documents classified strongly into only a few topics (highly concentrated probabilities) from documents that are classified weakly into all (that is none) of the topics (unconcentrated probabilites). To assess a particular topic classification it should be possible to decompose the portion of a document’s text that is estimated to derive from a particular topic. That portion can then be scored according to its weighted average rank of the terms actually contained in the document, with poorly classified texts having lower scores. The utility of this quality scoring is to shine a light on the yet to be correctly classified texts, which may give an indication of when it is warranted to increase the parameter space of the model, and which may substantively reveal the less dominant (perhaps dominated) vocabularies.</w:t>
      </w:r>
    </w:p>
    <w:p>
      <w:pPr>
        <w:pStyle w:val="BodyText"/>
      </w:pPr>
      <w:r>
        <w:t xml:space="preserve">Second, it is a simple enough procedure to forestall interpretation of the topic by term vectors until after a direct inspection of documents grouped by their topic classification. Indeed, this may promote a more accurate theory of the topic since terms will be interpreted within context.</w:t>
      </w:r>
    </w:p>
    <w:p>
      <w:pPr>
        <w:pStyle w:val="Heading2"/>
      </w:pPr>
      <w:bookmarkStart w:id="49" w:name="data"/>
      <w:r>
        <w:t xml:space="preserve">Data</w:t>
      </w:r>
      <w:bookmarkEnd w:id="49"/>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50"/>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Compact"/>
        <w:numPr>
          <w:numId w:val="1006"/>
          <w:ilvl w:val="0"/>
        </w:numPr>
      </w:pPr>
      <w:r>
        <w:t xml:space="preserve">Remove documents that are identical in content to another document even if metadata differ, i.e. reprints.</w:t>
      </w:r>
    </w:p>
    <w:p>
      <w:pPr>
        <w:pStyle w:val="FirstParagraph"/>
      </w:pPr>
      <w:r>
        <w:t xml:space="preserve">The initial query returned 7,695 articles from 1,205 different journals, as well as 6,485 book chapters from 4,427 books. After the above processing steps, the sample was reduced to 3,547 articles and 2,797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idiosyncrasy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idiosyncrasy. The median text lost about one tenth (10.19 percent) of its words, while 90 percent of texts are within two tenths, and outliers begin at about three tenths as can be seen in the boxplot. The 153 (2.41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51"/>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idiosyncrasy to be 12/13 or 92.3 percent, which also illustrates how terms that are not in the Roman alphabet may be discarded as OCR errors even prior to the idiosyncrasy measurement.</w:t>
      </w:r>
    </w:p>
    <w:p>
      <w:pPr>
        <w:pStyle w:val="SourceCode"/>
      </w:pPr>
      <w:r>
        <w:rPr>
          <w:rStyle w:val="VerbatimChar"/>
        </w:rPr>
        <w:t xml:space="preserve">Scale for 'y' is already present. Adding another scale for 'y', which</w:t>
      </w:r>
      <w:r>
        <w:br/>
      </w:r>
      <w:r>
        <w:rPr>
          <w:rStyle w:val="VerbatimChar"/>
        </w:rPr>
        <w:t xml:space="preserve">will replace the existing scale.</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44 texts (0.69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3"/>
      </w:r>
      <w:r>
        <w:t xml:space="preserve">, a single page introduction in a special issue of</w:t>
      </w:r>
      <w:r>
        <w:t xml:space="preserve"> </w:t>
      </w:r>
      <w:r>
        <w:rPr>
          <w:i/>
        </w:rPr>
        <w:t xml:space="preserve">Literature/Film Quarterly</w:t>
      </w:r>
      <w:r>
        <w:t xml:space="preserve"> </w:t>
      </w:r>
      <w:r>
        <w:t xml:space="preserve">on genres.</w:t>
      </w:r>
    </w:p>
    <w:p>
      <w:pPr>
        <w:pStyle w:val="SourceCode"/>
      </w:pPr>
      <w:r>
        <w:rPr>
          <w:rStyle w:val="VerbatimChar"/>
        </w:rPr>
        <w:t xml:space="preserve">Warning: Removed 1 rows containing missing values (geom_bar).</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BodyText"/>
      </w:pPr>
      <w:r>
        <w:drawing>
          <wp:inline>
            <wp:extent cx="5334000" cy="6472580"/>
            <wp:effectExtent b="0" l="0" r="0" t="0"/>
            <wp:docPr descr="" title="" id="1" name="Picture"/>
            <a:graphic>
              <a:graphicData uri="http://schemas.openxmlformats.org/drawingml/2006/picture">
                <pic:pic>
                  <pic:nvPicPr>
                    <pic:cNvPr descr="img/genre-jsubj.png" id="0" name="Picture"/>
                    <pic:cNvPicPr>
                      <a:picLocks noChangeArrowheads="1" noChangeAspect="1"/>
                    </pic:cNvPicPr>
                  </pic:nvPicPr>
                  <pic:blipFill>
                    <a:blip r:embed="rId55"/>
                    <a:stretch>
                      <a:fillRect/>
                    </a:stretch>
                  </pic:blipFill>
                  <pic:spPr bwMode="auto">
                    <a:xfrm>
                      <a:off x="0" y="0"/>
                      <a:ext cx="5334000" cy="6472580"/>
                    </a:xfrm>
                    <a:prstGeom prst="rect">
                      <a:avLst/>
                    </a:prstGeom>
                    <a:noFill/>
                    <a:ln w="9525">
                      <a:noFill/>
                      <a:headEnd/>
                      <a:tailEnd/>
                    </a:ln>
                  </pic:spPr>
                </pic:pic>
              </a:graphicData>
            </a:graphic>
          </wp:inline>
        </w:drawing>
      </w:r>
    </w:p>
    <w:p>
      <w:pPr>
        <w:pStyle w:val="BodyText"/>
      </w:pPr>
      <w:r>
        <w:t xml:space="preserve">Table</w:t>
      </w:r>
      <w:r>
        <w:t xml:space="preserve"> </w:t>
      </w:r>
      <w:r>
        <w:t xml:space="preserve">??</w:t>
      </w:r>
      <w:r>
        <w:t xml:space="preserve"> </w:t>
      </w:r>
      <w:r>
        <w:t xml:space="preserve">enumerates the subject labels each text inherits from its parent book or journal. JSTOR categorizes the volume rather than each item of its contents, and volumes may bear multiple labels. The count (N) of discrete labels as a percentage is listed first and the table is sorted by that figure. In addition, to prevent double counting of texts bearing multiple labels, each label is given a weight (W) that is the inverse of the number of labels given to the text. The top three, Language &amp; Literature, Humanities, and History, are the same in each case, while Sociology, Music, and Area Studies are ranked higher by weight than by count, an indication that Social Sciences frequently co-occurs with other labels and is therefore down-weighted. This makes sense as Social Sciences, like Humanities and Arts, is a meta subject.</w:t>
      </w:r>
    </w:p>
    <w:p>
      <w:pPr>
        <w:pStyle w:val="BodyText"/>
      </w:pPr>
      <w:r>
        <w:t xml:space="preserve">“</w:t>
      </w:r>
      <w:r>
        <w:t xml:space="preserve">Subject</w:t>
      </w:r>
      <w:r>
        <w:t xml:space="preserve">”</w:t>
      </w:r>
      <w:r>
        <w:t xml:space="preserve"> </w:t>
      </w:r>
      <w:r>
        <w:t xml:space="preserve">is the name given by JSTOR as a description of content, yet they also refer to</w:t>
      </w:r>
      <w:r>
        <w:t xml:space="preserve"> </w:t>
      </w:r>
      <w:r>
        <w:t xml:space="preserve">“</w:t>
      </w:r>
      <w:r>
        <w:t xml:space="preserve">discipline</w:t>
      </w:r>
      <w:r>
        <w:t xml:space="preserve">”</w:t>
      </w:r>
      <w:r>
        <w:t xml:space="preserve">, which is a description of conditioning social structures. This is not a mere mincing of words; the argument is that content and condition are related but not equivalent, that is, that</w:t>
      </w:r>
      <w:r>
        <w:t xml:space="preserve"> </w:t>
      </w:r>
      <w:r>
        <w:rPr>
          <w:i/>
        </w:rPr>
        <w:t xml:space="preserve">some</w:t>
      </w:r>
      <w:r>
        <w:t xml:space="preserve"> </w:t>
      </w:r>
      <w:r>
        <w:t xml:space="preserve">cultural formations (topics) will span social boundaries. These rankings, especially the lopsided proportion allocated to Language &amp; Literature, provide expectations as to the number and content of topics, under the assumption that there is less within discipline than between discipline variation in vocabulary. Of course the goal is not to merely recover these discipline categories which are already given. Rather, the aim is to drill down to regularities of speech as indicators of a freely variable cultural dimension that is conditioned but not entirely controlled by social structure.</w:t>
      </w:r>
    </w:p>
    <w:p>
      <w:pPr>
        <w:pStyle w:val="Heading2"/>
      </w:pPr>
      <w:bookmarkStart w:id="56" w:name="estimation"/>
      <w:r>
        <w:t xml:space="preserve">Estimation</w:t>
      </w:r>
      <w:bookmarkEnd w:id="56"/>
    </w:p>
    <w:p>
      <w:pPr>
        <w:pStyle w:val="FirstParagraph"/>
      </w:pPr>
      <w:r>
        <w:t xml:space="preserve">I will I use the</w:t>
      </w:r>
      <w:r>
        <w:t xml:space="preserve"> </w:t>
      </w:r>
      <w:r>
        <w:rPr>
          <w:rStyle w:val="VerbatimChar"/>
        </w:rPr>
        <w:t xml:space="preserve">stm</w:t>
      </w:r>
      <w:r>
        <w:t xml:space="preserve"> </w:t>
      </w:r>
      <w:r>
        <w:t xml:space="preserve">package in R to estimate a series of topic models</w:t>
      </w:r>
      <w:r>
        <w:t xml:space="preserve"> </w:t>
      </w:r>
      <w:r>
        <w:t xml:space="preserve">(</w:t>
      </w:r>
      <w:r>
        <w:rPr>
          <w:b/>
        </w:rPr>
        <w:t xml:space="preserve">???</w:t>
      </w:r>
      <w:r>
        <w:t xml:space="preserve">; Roberts et al.</w:t>
      </w:r>
      <w:r>
        <w:t xml:space="preserve"> </w:t>
      </w:r>
      <w:hyperlink w:anchor="ref-Roberts2018stm">
        <w:r>
          <w:rPr>
            <w:rStyle w:val="Hyperlink"/>
          </w:rPr>
          <w:t xml:space="preserve">2018</w:t>
        </w:r>
      </w:hyperlink>
      <w:r>
        <w:t xml:space="preserve">)</w:t>
      </w:r>
      <w:r>
        <w:t xml:space="preserve">. The structural topic model (STM) is a variation on the correlated topic model (CTM) that allows for direct estimation of how covariates affect topic formation. The CTM was an early modification of the initial latent dirichilet allocation (LDA) estimator, which tended to create topics that were statistically independent of each other and which therefore made it difficult to model documents as composed of multiple topics, a feature which has become central to the usefuleness of topic models for applied research</w:t>
      </w:r>
      <w:r>
        <w:t xml:space="preserve"> </w:t>
      </w:r>
      <w:r>
        <w:t xml:space="preserve">(Blei and Lafferty</w:t>
      </w:r>
      <w:r>
        <w:t xml:space="preserve"> </w:t>
      </w:r>
      <w:hyperlink w:anchor="ref-Blei2007correlated">
        <w:r>
          <w:rPr>
            <w:rStyle w:val="Hyperlink"/>
          </w:rPr>
          <w:t xml:space="preserve">2007</w:t>
        </w:r>
      </w:hyperlink>
      <w:r>
        <w:t xml:space="preserve">)</w:t>
      </w:r>
      <w:r>
        <w:t xml:space="preserve">. It will be helpful to understand the complexity of the CTM before complicating it further, thus for the sake of simplicity we use the</w:t>
      </w:r>
      <w:r>
        <w:t xml:space="preserve"> </w:t>
      </w:r>
      <w:r>
        <w:rPr>
          <w:rStyle w:val="VerbatimChar"/>
        </w:rPr>
        <w:t xml:space="preserve">stm</w:t>
      </w:r>
      <w:r>
        <w:t xml:space="preserve"> </w:t>
      </w:r>
      <w:r>
        <w:t xml:space="preserve">package to fit CTMs without leveraging the additional feature of covariate modeling.</w:t>
      </w:r>
    </w:p>
    <w:p>
      <w:pPr>
        <w:pStyle w:val="BodyText"/>
      </w:pPr>
      <w:r>
        <w:t xml:space="preserve">To briefly explain the difference, the STM builds on the CTM by modeling the effect of document level covariates on topics in two different ways. First, covariates may affect topic prevalence. For example, including a dummy variable for the JSTOR discipline label Social Science interacted across all topic by document probabilities would provide a parameter measuring the degree to which social science texts contribute terms more or less frequently to that topic than do non social science texts. For example, a binary category between social sciences and humanities interacted with a topic about music might show that social science texts are ten percent less prevalent in the music topic than are humanities texts. Second, covariates may affect topic content. Here the terms of a document inherit the covariate assigned to their document of origin. A social science dummy interacted across all topic by term probabilities provides a parameter measuring the degree to which a term of a particular covariate origin is more or less likely to contribute to a topic. In practice, content models help construct two different term rankings for the same topic, two because estimation on the high dimensional term vector space is intractable for all but the simplest binary covariate. In the same social science versus humanities binary, the content model would show how the vocabulary of social science texts differs from the vocabulary of humanities texts when talking about the same topic, music. In a subsequent chapter we will find occasion to use these more powerful features of the STM.</w:t>
      </w:r>
    </w:p>
    <w:p>
      <w:pPr>
        <w:pStyle w:val="BodyText"/>
      </w:pPr>
      <w:r>
        <w:t xml:space="preserve">Because there are so many parameters CTM models are difficult to estimate, but the core approach is the familiar maximum likelihood framework. Estimators attempt to discover the parameters for the unobserved portions of the model that are most likely given the observed portions, the document by term counts. The estimator used in the stm package is a version of expectation maximization (EM) in which some parameters of the model are set arbitrarily, for instance randomly, in order to reduce the likelihood function to something tractable that can be maximized. The outcomes to each step of this expectation (guessing) and maximization (solving) procedure are then fed into another interation. In practice each step of guessing leads to a smaller change in the parameters, and the model is said to have converged when the changes fall below a predetermined threshold.</w:t>
      </w:r>
    </w:p>
    <w:p>
      <w:pPr>
        <w:pStyle w:val="BodyText"/>
      </w:pPr>
      <w:r>
        <w:t xml:space="preserve">The parameter space of topic models is far too complex to be able to write solveable likelihood equations and even for EM estimators to guess at them with consistent and accurate results, so topic models frequently include a raft of simplifying hyperparameters to reduce the dimensionality of the problem. It is not within the present scope to discuss these hyperparameters unless they are exogenous and can be set in ways that are practically meaningful for applied research problems. We have already discussed two of these, the alpha and sigma priors, which let us control the level of mixture of topics within documents and the correlation of topics respectively. We trust that others that are endogenous to model estimation lead to sensible results.</w:t>
      </w:r>
    </w:p>
    <w:p>
      <w:pPr>
        <w:pStyle w:val="BodyText"/>
      </w:pPr>
      <w:r>
        <w:t xml:space="preserve">Hyperparameters aside, it is also necessary to initialize the substantive parameters of the model for the first EM step. The choice of model initialization is substantively meaningful and under the user’s control in the stm package. For example, the CTM model may be initialized with the values of an LDA model where topics are uncorrelated; in this situation EM would step the topic by document probabilities toward a more correlated outcome in which certain topics appear together frequently, if this model is more likely given the data. The initalization we will use is called spectral initialization, which is related to the concept of anchor words discussed above. A spectral model considers only the square term by term matrix where each column and row refers to the number of times a particular word co-occurs within any document with every other word in the vocabulary. A dimensionality reduction technique such as principle component analysis or matrix factorization can be used to represent each term in a number of dimensions equal to the desired number of topics. This can in turn be used to initialize the topic by term matrix of the model. Finally, the usually much simpler topic by document matrix can converge quickly using EM on the basis of the good guess supplied by the spectral model.</w:t>
      </w:r>
    </w:p>
    <w:p>
      <w:pPr>
        <w:pStyle w:val="BodyText"/>
      </w:pPr>
      <w:r>
        <w:t xml:space="preserve">Because the vocabulary vector tends to be very long it is not trivial even for spectral methods to reduce the term by term matrix to the number of topics without additional assumptions.</w:t>
      </w:r>
      <w:r>
        <w:t xml:space="preserve"> </w:t>
      </w:r>
      <w:r>
        <w:t xml:space="preserve">Arora et al. (</w:t>
      </w:r>
      <w:hyperlink w:anchor="ref-Arora2018Learning">
        <w:r>
          <w:rPr>
            <w:rStyle w:val="Hyperlink"/>
          </w:rPr>
          <w:t xml:space="preserve">2018</w:t>
        </w:r>
      </w:hyperlink>
      <w:r>
        <w:t xml:space="preserve">)</w:t>
      </w:r>
      <w:r>
        <w:t xml:space="preserve"> </w:t>
      </w:r>
      <w:r>
        <w:t xml:space="preserve">have shown that assuming the existence of anchor words makes the decomposition fast and efficient while retaining the feature of a single determinate solution</w:t>
      </w:r>
      <w:r>
        <w:t xml:space="preserve"> </w:t>
      </w:r>
      <w:r>
        <w:t xml:space="preserve">(Roberts</w:t>
      </w:r>
      <w:r>
        <w:t xml:space="preserve"> </w:t>
      </w:r>
      <w:hyperlink w:anchor="ref-Roberts2016Navigating">
        <w:r>
          <w:rPr>
            <w:rStyle w:val="Hyperlink"/>
          </w:rPr>
          <w:t xml:space="preserve">2016</w:t>
        </w:r>
      </w:hyperlink>
      <w:r>
        <w:t xml:space="preserve">)</w:t>
      </w:r>
      <w:r>
        <w:t xml:space="preserve">. An anchor word is one whose probability is one for one topic and zero for all others. In the space of the solution the anchor words become the farthest corners of the multidimensional cloud of terms, and a convex hull drawn through them will contain all other terms. If the anchors are treated as singularly representing their entire topic, the position of every other term can be represented as a linear combination of the positions of all the anchors. The linear weights of the anchors then become the topic probabilities of the words, such that the closer a term is to an anchor the higher its probability from the anchor’s topic and the lower the probability for all other anchors’ topics. An anchor for each topic must be annointed so that its vector can be set to the assumed maximum sparsity, and the criterion for doing so is to find words with the above mentioned maximum frequency and exclusivity, words that always appear only given a particular set of other words. Even if the anchor word assumption is not strictly valid, using an anchor based spectral initialization in combination with the EM estimator may relax the assumption and distribute the c</w:t>
      </w:r>
    </w:p>
    <w:p>
      <w:pPr>
        <w:pStyle w:val="BodyText"/>
      </w:pPr>
      <w:r>
        <w:t xml:space="preserve">For now, we will focus on the consequences of the choice of the number of topics K. We fit nine models in sequence from K = 2 to K = 10.</w:t>
      </w:r>
    </w:p>
    <w:p>
      <w:pPr>
        <w:pStyle w:val="Heading2"/>
      </w:pPr>
      <w:bookmarkStart w:id="57" w:name="diagnostics"/>
      <w:r>
        <w:t xml:space="preserve">Diagnostics</w:t>
      </w:r>
      <w:bookmarkEnd w:id="57"/>
    </w:p>
    <w:p>
      <w:pPr>
        <w:pStyle w:val="FirstParagraph"/>
      </w:pPr>
      <w:r>
        <w:t xml:space="preserve">Having fit nine models sequentially from K = 2 to K = 10, we alight on the final as the focal model given that we assume that at ten topics we have still underspecified K. In this section I implement several approaches to validating topic quality mentioned above.</w:t>
      </w:r>
    </w:p>
    <w:p>
      <w:pPr>
        <w:pStyle w:val="SourceCode"/>
      </w:pPr>
      <w:r>
        <w:rPr>
          <w:rStyle w:val="VerbatimChar"/>
        </w:rPr>
        <w:t xml:space="preserve">Scale for 'colour' is already present. Adding another scale for</w:t>
      </w:r>
      <w:r>
        <w:br/>
      </w:r>
      <w:r>
        <w:rPr>
          <w:rStyle w:val="VerbatimChar"/>
        </w:rPr>
        <w:t xml:space="preserve">'colour', which will replace the existing scale.</w:t>
      </w:r>
    </w:p>
    <w:p>
      <w:pPr>
        <w:pStyle w:val="CaptionedFigure"/>
      </w:pPr>
      <w:r>
        <w:drawing>
          <wp:inline>
            <wp:extent cx="4620126" cy="3696101"/>
            <wp:effectExtent b="0" l="0" r="0" t="0"/>
            <wp:docPr descr="Figure 7 As K increases so does separation among junk (lower mode), weak (central mode), and strong (upper mode) topic by document probabilities." title="" id="1" name="Picture"/>
            <a:graphic>
              <a:graphicData uri="http://schemas.openxmlformats.org/drawingml/2006/picture">
                <pic:pic>
                  <pic:nvPicPr>
                    <pic:cNvPr descr="ambrose_dissertation_files/figure-docx/logit-theta-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As K increases so does separation among junk (lower mode), weak (central mode), and strong (upper mode) topic by document probabilities.</w:t>
      </w:r>
    </w:p>
    <w:p>
      <w:pPr>
        <w:pStyle w:val="Heading3"/>
      </w:pPr>
      <w:bookmarkStart w:id="59" w:name="blind-qcv"/>
      <w:r>
        <w:t xml:space="preserve">Blind QCV</w:t>
      </w:r>
      <w:bookmarkEnd w:id="59"/>
    </w:p>
    <w:p>
      <w:pPr>
        <w:pStyle w:val="FirstParagraph"/>
      </w:pPr>
      <w:r>
        <w:t xml:space="preserve">Contrary to the conventional approach of inspecting the topic by term matrix first, I performed a blind QCV sorting test in which I tried to recover the model classification without prior knowledge of topic content. This test allows me to interpret topic content from whole texts rather than from the decomposed topic by term matrix and gives an opportunity to assess document classification quality prior to developing a bias about what topic contents mean.</w:t>
      </w:r>
    </w:p>
    <w:p>
      <w:pPr>
        <w:pStyle w:val="BodyText"/>
      </w:pPr>
      <w:r>
        <w:t xml:space="preserve">For each topic I created a list with 45 documents to supply five comparison cases for each of the other nine topics. These lists were the conventional document by topic rankings sorted in decreasing order of topic probability. For each of the 45 unordered topic pairs I removed five articles at random from the document list of each topic and combined them to create a new randomly shuffled set of ten containing documents from both topics. The validation task was simply to inspect each document and attempt to recover the topic groupings, the logic being that the better the document classification the easier the sorting. Difficulty was measured by the chi squared probability of the manual classifaction against the true classification. An additional metric of difficulty, the amount of time required to complete the task, was gathered as well but not used.</w:t>
      </w:r>
    </w:p>
    <w:p>
      <w:pPr>
        <w:pStyle w:val="BodyText"/>
      </w:pPr>
      <w:r>
        <w:t xml:space="preserve">Each of the 45 sorting tasks was completed as quickly as possible, which in practice meant skimming the first page of each document. If this was enough to suggest the correct groupings the task would be finished. If the status of some documents was unclear then a closer inspection of the text would be necessary. Never was a document read closely, so topic content is still what can be gleaned from a cursory skimming of the text. Each document appeared only once within a particular topic’s list to avoid the bias of knowing how a document had already been classified in a previous task. However, because a document could have appeared twice or more if it was ranked in the top 45 documents of more than one topic, some documents were seen twice. In these cases the bias would serve to confuse rather than clarify since the classification would be different between two instances of the same article.</w:t>
      </w:r>
    </w:p>
    <w:p>
      <w:pPr>
        <w:pStyle w:val="CaptionedFigure"/>
      </w:pPr>
      <w:r>
        <w:drawing>
          <wp:inline>
            <wp:extent cx="4620126" cy="3696101"/>
            <wp:effectExtent b="0" l="0" r="0" t="0"/>
            <wp:docPr descr="Figure 8 Topic confusion network. Tied topics contained at least two errors in blind manual sorting test. Untied topics were perfectly separated. Colors represent a topic’s number of imperfect tests." title="" id="1" name="Picture"/>
            <a:graphic>
              <a:graphicData uri="http://schemas.openxmlformats.org/drawingml/2006/picture">
                <pic:pic>
                  <pic:nvPicPr>
                    <pic:cNvPr descr="ambrose_dissertation_files/figure-docx/man-co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Topic confusion network. Tied topics contained at least two errors in blind manual sorting test. Untied topics were perfectly separated. Colors represent a topic’s number of imperfect tests.</w:t>
      </w:r>
    </w:p>
    <w:p>
      <w:pPr>
        <w:pStyle w:val="BodyText"/>
      </w:pPr>
      <w:r>
        <w:t xml:space="preserve">Among the 45 different sorting tasks only two outcomes were observed. 41 tasks was performed perfectly (p = 0.0114), while in 4 tasks or one error was made, which is to say two documents were misclassified (p = 0.2059). Figure</w:t>
      </w:r>
      <w:r>
        <w:t xml:space="preserve"> </w:t>
      </w:r>
      <w:r>
        <w:t xml:space="preserve">8</w:t>
      </w:r>
      <w:r>
        <w:t xml:space="preserve"> </w:t>
      </w:r>
      <w:r>
        <w:t xml:space="preserve">visualizes the pairwise outcomes as a confusion network. Topics that are disconnected were sorted perfectly, while topics that are connected were confused. The graph reveals some variation in topic confusion, as two were confused twice, four were confused once, and the remaining four were never confused.</w:t>
      </w:r>
    </w:p>
    <w:p>
      <w:pPr>
        <w:pStyle w:val="BodyText"/>
      </w:pPr>
      <w:r>
        <w:t xml:space="preserve">It is not actually clear whether topic confusion is a function of document misclassification or my lack of familiarity with topic content. An added benefit of this procedure is that it began to establish a theory of each topic by a direct inspection of bellwether texts, and this growing familiarity decreases the task difficulty over the course of the testing. In either event the results of this diagnostic provide a basis for understanding interpretive difficulties later.</w:t>
      </w:r>
    </w:p>
    <w:p>
      <w:pPr>
        <w:pStyle w:val="Heading3"/>
      </w:pPr>
      <w:bookmarkStart w:id="61" w:name="k-descent"/>
      <w:r>
        <w:t xml:space="preserve">K descent</w:t>
      </w:r>
      <w:bookmarkEnd w:id="61"/>
    </w:p>
    <w:p>
      <w:pPr>
        <w:pStyle w:val="FirstParagraph"/>
      </w:pPr>
      <w:r>
        <w:t xml:space="preserve">All topic models are mixture models in that they treat the observed document by term frequencies as the outcome of multiple topics mixing together in different proportions within documents. Whereas the flat approach treats documents as mixtures, a hierarchical topic model treats topics as mixtures as well. Here topics are mixtures of ancestor nodes in a tree network of topics. A hierarchical model would, for instance, obviate the procedure of removing common language syntax words such as articles and prepositions because it could represent these as a root node of all topics, indicating that all vocabularies appear in a partial mixture of a language’s basic syntax. A flat model retaining syntax would burden the estimator with learning that syntax terms should be distributed evenly across all topics. More substantively, a hierarchical model applied to scholarship may help pick out fields that have various empirical studies that are nonetheless united by common theory terms or argumentative style words. Because substance in its detail can easily swamp framing terminology by sheer frequency, flat topic model estimators will tend to rends apart fields where novelty is a virtue and classify them by their minutia rather than by their themes.</w:t>
      </w:r>
    </w:p>
    <w:p>
      <w:pPr>
        <w:pStyle w:val="BodyText"/>
      </w:pPr>
      <w:r>
        <w:t xml:space="preserve">Models and software for hierarchical models have been developed</w:t>
      </w:r>
      <w:r>
        <w:t xml:space="preserve"> </w:t>
      </w:r>
      <w:r>
        <w:t xml:space="preserve">(Roberts</w:t>
      </w:r>
      <w:r>
        <w:t xml:space="preserve"> </w:t>
      </w:r>
      <w:hyperlink w:anchor="ref-Roberts2015pkg">
        <w:r>
          <w:rPr>
            <w:rStyle w:val="Hyperlink"/>
          </w:rPr>
          <w:t xml:space="preserve">2015</w:t>
        </w:r>
      </w:hyperlink>
      <w:r>
        <w:t xml:space="preserve">; Teh et al.</w:t>
      </w:r>
      <w:r>
        <w:t xml:space="preserve"> </w:t>
      </w:r>
      <w:hyperlink w:anchor="ref-Teh2006Hierarchical">
        <w:r>
          <w:rPr>
            <w:rStyle w:val="Hyperlink"/>
          </w:rPr>
          <w:t xml:space="preserve">2006</w:t>
        </w:r>
      </w:hyperlink>
      <w:r>
        <w:t xml:space="preserve">)</w:t>
      </w:r>
      <w:r>
        <w:t xml:space="preserve">, but they are not yet in common use by social scientists. Here</w:t>
      </w:r>
    </w:p>
    <w:p>
      <w:pPr>
        <w:pStyle w:val="CaptionedFigure"/>
      </w:pPr>
      <w:r>
        <w:drawing>
          <wp:inline>
            <wp:extent cx="5334000" cy="3229319"/>
            <wp:effectExtent b="0" l="0" r="0" t="0"/>
            <wp:docPr descr="Figure 9 Sankey diagram of document overlap between topic models of increasing values of K." title="" id="1" name="Picture"/>
            <a:graphic>
              <a:graphicData uri="http://schemas.openxmlformats.org/drawingml/2006/picture">
                <pic:pic>
                  <pic:nvPicPr>
                    <pic:cNvPr descr="img/genre-sankey.png" id="0" name="Picture"/>
                    <pic:cNvPicPr>
                      <a:picLocks noChangeArrowheads="1" noChangeAspect="1"/>
                    </pic:cNvPicPr>
                  </pic:nvPicPr>
                  <pic:blipFill>
                    <a:blip r:embed="rId62"/>
                    <a:stretch>
                      <a:fillRect/>
                    </a:stretch>
                  </pic:blipFill>
                  <pic:spPr bwMode="auto">
                    <a:xfrm>
                      <a:off x="0" y="0"/>
                      <a:ext cx="5334000" cy="3229319"/>
                    </a:xfrm>
                    <a:prstGeom prst="rect">
                      <a:avLst/>
                    </a:prstGeom>
                    <a:noFill/>
                    <a:ln w="9525">
                      <a:noFill/>
                      <a:headEnd/>
                      <a:tailEnd/>
                    </a:ln>
                  </pic:spPr>
                </pic:pic>
              </a:graphicData>
            </a:graphic>
          </wp:inline>
        </w:drawing>
      </w:r>
    </w:p>
    <w:p>
      <w:pPr>
        <w:pStyle w:val="ImageCaption"/>
      </w:pPr>
      <w:r>
        <w:t xml:space="preserve">Figure 9 Sankey diagram of document overlap between topic models of increasing values of K.</w:t>
      </w:r>
    </w:p>
    <w:p>
      <w:pPr>
        <w:pStyle w:val="Heading3"/>
      </w:pPr>
      <w:bookmarkStart w:id="63" w:name="concentration"/>
      <w:r>
        <w:t xml:space="preserve">Concentration</w:t>
      </w:r>
      <w:bookmarkEnd w:id="63"/>
    </w:p>
    <w:p>
      <w:pPr>
        <w:pStyle w:val="CaptionedFigure"/>
      </w:pPr>
      <w:r>
        <w:drawing>
          <wp:inline>
            <wp:extent cx="4620126" cy="3696101"/>
            <wp:effectExtent b="0" l="0" r="0" t="0"/>
            <wp:docPr descr="Figure 10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Topic concentrations (TC) within documents by TC within terms. Circles proportional to term frequency explained by each topic</w:t>
      </w:r>
    </w:p>
    <w:p>
      <w:pPr>
        <w:pStyle w:val="CaptionedFigure"/>
      </w:pPr>
      <w:r>
        <w:drawing>
          <wp:inline>
            <wp:extent cx="4620126" cy="3696101"/>
            <wp:effectExtent b="0" l="0" r="0" t="0"/>
            <wp:docPr descr="Figure 11 Concentration of topic probabilities within A. documents and B. terms" title="" id="1" name="Picture"/>
            <a:graphic>
              <a:graphicData uri="http://schemas.openxmlformats.org/drawingml/2006/picture">
                <pic:pic>
                  <pic:nvPicPr>
                    <pic:cNvPr descr="ambrose_dissertation_files/figure-docx/doc-gini-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Concentration of topic probabilities within A. documents and B. terms</w:t>
      </w:r>
    </w:p>
    <w:p>
      <w:pPr>
        <w:pStyle w:val="CaptionedFigure"/>
      </w:pPr>
      <w:r>
        <w:drawing>
          <wp:inline>
            <wp:extent cx="5334000" cy="4267200"/>
            <wp:effectExtent b="0" l="0" r="0" t="0"/>
            <wp:docPr descr="Figure 12 Cumulative distribution of within topic term probabilities." title="" id="1" name="Picture"/>
            <a:graphic>
              <a:graphicData uri="http://schemas.openxmlformats.org/drawingml/2006/picture">
                <pic:pic>
                  <pic:nvPicPr>
                    <pic:cNvPr descr="ambrose_dissertation_files/figure-docx/elbow1-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Cumulative distribution of within topic term probabilities.</w:t>
      </w:r>
    </w:p>
    <w:p>
      <w:pPr>
        <w:pStyle w:val="CaptionedFigure"/>
      </w:pPr>
      <w:r>
        <w:drawing>
          <wp:inline>
            <wp:extent cx="5334000" cy="4267200"/>
            <wp:effectExtent b="0" l="0" r="0" t="0"/>
            <wp:docPr descr="Figure 13 Cumulative distribution of within topic document probabilities." title="" id="1" name="Picture"/>
            <a:graphic>
              <a:graphicData uri="http://schemas.openxmlformats.org/drawingml/2006/picture">
                <pic:pic>
                  <pic:nvPicPr>
                    <pic:cNvPr descr="ambrose_dissertation_files/figure-docx/elbow2-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Cumulative distribution of within topic document probabilities.</w:t>
      </w:r>
    </w:p>
    <w:p>
      <w:pPr>
        <w:pStyle w:val="Heading2"/>
      </w:pPr>
      <w:bookmarkStart w:id="68" w:name="results"/>
      <w:r>
        <w:t xml:space="preserve">Results</w:t>
      </w:r>
      <w:bookmarkEnd w:id="68"/>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4</w:t>
      </w:r>
      <w:r>
        <w:br/>
      </w:r>
      <w:r>
        <w:rPr>
          <w:rStyle w:val="VerbatimChar"/>
        </w:rPr>
        <w:t xml:space="preserve"> [3,]   1</w:t>
      </w:r>
      <w:r>
        <w:br/>
      </w:r>
      <w:r>
        <w:rPr>
          <w:rStyle w:val="VerbatimChar"/>
        </w:rPr>
        <w:t xml:space="preserve"> [4,]   7</w:t>
      </w:r>
      <w:r>
        <w:br/>
      </w:r>
      <w:r>
        <w:rPr>
          <w:rStyle w:val="VerbatimChar"/>
        </w:rPr>
        <w:t xml:space="preserve"> [5,]   2</w:t>
      </w:r>
      <w:r>
        <w:br/>
      </w:r>
      <w:r>
        <w:rPr>
          <w:rStyle w:val="VerbatimChar"/>
        </w:rPr>
        <w:t xml:space="preserve"> [6,]   5</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8</w:t>
      </w:r>
    </w:p>
    <w:p>
      <w:pPr>
        <w:pStyle w:val="SourceCode"/>
      </w:pPr>
      <w:r>
        <w:rPr>
          <w:rStyle w:val="VerbatimChar"/>
        </w:rPr>
        <w:t xml:space="preserve">Warning in dir.create(out.dir): 'ldaviz/viz' already exists</w:t>
      </w:r>
    </w:p>
    <w:p>
      <w:pPr>
        <w:pStyle w:val="CaptionedFigure"/>
      </w:pPr>
      <w:r>
        <w:drawing>
          <wp:inline>
            <wp:extent cx="5334000" cy="3410126"/>
            <wp:effectExtent b="0" l="0" r="0" t="0"/>
            <wp:docPr descr="Figure 14 Topic Term Explorer, K=10" title="" id="1" name="Picture"/>
            <a:graphic>
              <a:graphicData uri="http://schemas.openxmlformats.org/drawingml/2006/picture">
                <pic:pic>
                  <pic:nvPicPr>
                    <pic:cNvPr descr="img/genr-mod-viz.png" id="0" name="Picture"/>
                    <pic:cNvPicPr>
                      <a:picLocks noChangeArrowheads="1" noChangeAspect="1"/>
                    </pic:cNvPicPr>
                  </pic:nvPicPr>
                  <pic:blipFill>
                    <a:blip r:embed="rId69"/>
                    <a:stretch>
                      <a:fillRect/>
                    </a:stretch>
                  </pic:blipFill>
                  <pic:spPr bwMode="auto">
                    <a:xfrm>
                      <a:off x="0" y="0"/>
                      <a:ext cx="5334000" cy="3410126"/>
                    </a:xfrm>
                    <a:prstGeom prst="rect">
                      <a:avLst/>
                    </a:prstGeom>
                    <a:noFill/>
                    <a:ln w="9525">
                      <a:noFill/>
                      <a:headEnd/>
                      <a:tailEnd/>
                    </a:ln>
                  </pic:spPr>
                </pic:pic>
              </a:graphicData>
            </a:graphic>
          </wp:inline>
        </w:drawing>
      </w:r>
    </w:p>
    <w:p>
      <w:pPr>
        <w:pStyle w:val="ImageCaption"/>
      </w:pPr>
      <w:r>
        <w:t xml:space="preserve">Figure 14 Topic Term Explorer, K=10</w:t>
      </w:r>
    </w:p>
    <w:p>
      <w:pPr>
        <w:pStyle w:val="Heading2"/>
      </w:pPr>
      <w:bookmarkStart w:id="70" w:name="discussion"/>
      <w:r>
        <w:t xml:space="preserve">Discussion</w:t>
      </w:r>
      <w:bookmarkEnd w:id="70"/>
    </w:p>
    <w:bookmarkStart w:id="86" w:name="refs"/>
    <w:bookmarkStart w:id="71" w:name="ref-Arora2018Learning"/>
    <w:p>
      <w:pPr>
        <w:pStyle w:val="Bibliography"/>
      </w:pPr>
      <w:r>
        <w:t xml:space="preserve">Arora, Sanjeev, Rong Ge, Yoni Halpern, David Mimno, Ankur Moitra, David Sontag, Yichen Wu, and Michael Zhu. 2018. “Learning Topic Models – Provably and Efficiently.”</w:t>
      </w:r>
      <w:r>
        <w:t xml:space="preserve"> </w:t>
      </w:r>
      <w:r>
        <w:rPr>
          <w:i/>
        </w:rPr>
        <w:t xml:space="preserve">Commun. ACM</w:t>
      </w:r>
      <w:r>
        <w:t xml:space="preserve"> </w:t>
      </w:r>
      <w:r>
        <w:t xml:space="preserve">61(4):85–93.</w:t>
      </w:r>
    </w:p>
    <w:bookmarkEnd w:id="71"/>
    <w:bookmarkStart w:id="72" w:name="ref-Bischof2012Summarizing"/>
    <w:p>
      <w:pPr>
        <w:pStyle w:val="Bibliography"/>
      </w:pPr>
      <w:r>
        <w:t xml:space="preserve">Bischof, Jonathan M. and Edoardo M. Airoldi. 2012. “Summarizing Topical Content with Word Frequency and Exclusivity.” Pp. 9–16 in</w:t>
      </w:r>
      <w:r>
        <w:t xml:space="preserve"> </w:t>
      </w:r>
      <w:r>
        <w:rPr>
          <w:i/>
        </w:rPr>
        <w:t xml:space="preserve">Proceedings of the 29th International Coference on International Conference on Machine Learning</w:t>
      </w:r>
      <w:r>
        <w:t xml:space="preserve">,</w:t>
      </w:r>
      <w:r>
        <w:t xml:space="preserve"> </w:t>
      </w:r>
      <w:r>
        <w:rPr>
          <w:i/>
        </w:rPr>
        <w:t xml:space="preserve">ICML’12</w:t>
      </w:r>
      <w:r>
        <w:t xml:space="preserve">. USA: Omnipress.</w:t>
      </w:r>
    </w:p>
    <w:bookmarkEnd w:id="72"/>
    <w:bookmarkStart w:id="73" w:name="ref-Blei2007correlated"/>
    <w:p>
      <w:pPr>
        <w:pStyle w:val="Bibliography"/>
      </w:pPr>
      <w:r>
        <w:t xml:space="preserve">Blei, David M. and John D. Lafferty. 2007. “A Correlated Topic Model of Science.”</w:t>
      </w:r>
      <w:r>
        <w:t xml:space="preserve"> </w:t>
      </w:r>
      <w:r>
        <w:rPr>
          <w:i/>
        </w:rPr>
        <w:t xml:space="preserve">The Annals of Applied Statistics</w:t>
      </w:r>
      <w:r>
        <w:t xml:space="preserve"> </w:t>
      </w:r>
      <w:r>
        <w:t xml:space="preserve">1(1):17–35.</w:t>
      </w:r>
    </w:p>
    <w:bookmarkEnd w:id="73"/>
    <w:bookmarkStart w:id="74"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74"/>
    <w:bookmarkStart w:id="75" w:name="ref-2012Google"/>
    <w:p>
      <w:pPr>
        <w:pStyle w:val="Bibliography"/>
      </w:pPr>
      <w:r>
        <w:t xml:space="preserve">Google. 2012. “Google Ngram Viewer.”</w:t>
      </w:r>
    </w:p>
    <w:bookmarkEnd w:id="75"/>
    <w:bookmarkStart w:id="76" w:name="ref-James2019ecp"/>
    <w:p>
      <w:pPr>
        <w:pStyle w:val="Bibliography"/>
      </w:pPr>
      <w:r>
        <w:t xml:space="preserve">James, Nicholas A. and Wenyu Zhang and David S. Matteson. 2019. “Ecp: Non-Parametric Multiple Change-Point Analysis of Multivariate Data.”</w:t>
      </w:r>
    </w:p>
    <w:bookmarkEnd w:id="76"/>
    <w:bookmarkStart w:id="77"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77"/>
    <w:bookmarkStart w:id="78"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78"/>
    <w:bookmarkStart w:id="79"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79"/>
    <w:bookmarkStart w:id="80" w:name="ref-Nay2017Predicting"/>
    <w:p>
      <w:pPr>
        <w:pStyle w:val="Bibliography"/>
      </w:pPr>
      <w:r>
        <w:t xml:space="preserve">Nay, John J. 2017. “Predicting and Understanding Law-Making with Word Vectors and an Ensemble Model.”</w:t>
      </w:r>
      <w:r>
        <w:t xml:space="preserve"> </w:t>
      </w:r>
      <w:r>
        <w:rPr>
          <w:i/>
        </w:rPr>
        <w:t xml:space="preserve">PLOS ONE</w:t>
      </w:r>
      <w:r>
        <w:t xml:space="preserve"> </w:t>
      </w:r>
      <w:r>
        <w:t xml:space="preserve">12(5):e0176999.</w:t>
      </w:r>
    </w:p>
    <w:bookmarkEnd w:id="80"/>
    <w:bookmarkStart w:id="81"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81"/>
    <w:bookmarkStart w:id="82" w:name="ref-Roberts2016Navigating"/>
    <w:p>
      <w:pPr>
        <w:pStyle w:val="Bibliography"/>
      </w:pPr>
      <w:r>
        <w:t xml:space="preserve">Roberts, Margaret E. 2016. “Navigating the Local Modes of Big Data: The Case of Topic Models.” in</w:t>
      </w:r>
      <w:r>
        <w:t xml:space="preserve"> </w:t>
      </w:r>
      <w:r>
        <w:rPr>
          <w:i/>
        </w:rPr>
        <w:t xml:space="preserve">Computational Social Science: Discovery and Prediction</w:t>
      </w:r>
      <w:r>
        <w:t xml:space="preserve">. Cambridge: Cambridge University Press.</w:t>
      </w:r>
    </w:p>
    <w:bookmarkEnd w:id="82"/>
    <w:bookmarkStart w:id="83" w:name="ref-Roberts2018stm"/>
    <w:p>
      <w:pPr>
        <w:pStyle w:val="Bibliography"/>
      </w:pPr>
      <w:r>
        <w:t xml:space="preserve">Roberts, Margaret, Brandon Stewart, Dustin Tingley, and Kenneth Benoit. 2018. “Stm: Estimation of the Structural Topic Model.”</w:t>
      </w:r>
    </w:p>
    <w:bookmarkEnd w:id="83"/>
    <w:bookmarkStart w:id="84" w:name="ref-Roberts2015pkg"/>
    <w:p>
      <w:pPr>
        <w:pStyle w:val="Bibliography"/>
      </w:pPr>
      <w:r>
        <w:t xml:space="preserve">Roberts, Nicola. 2015. “Hdp: R Pkg for Hierarchical Dirichlet Process.”</w:t>
      </w:r>
    </w:p>
    <w:bookmarkEnd w:id="84"/>
    <w:bookmarkStart w:id="85" w:name="ref-Teh2006Hierarchical"/>
    <w:p>
      <w:pPr>
        <w:pStyle w:val="Bibliography"/>
      </w:pPr>
      <w:r>
        <w:t xml:space="preserve">Teh, Yee Whye, Michael I. Jordan, Matthew J. Beal, and David M. Blei. 2006. “Hierarchical Dirichlet Processes.”</w:t>
      </w:r>
      <w:r>
        <w:t xml:space="preserve"> </w:t>
      </w:r>
      <w:r>
        <w:rPr>
          <w:i/>
        </w:rPr>
        <w:t xml:space="preserve">Journal of the American Statistical Association</w:t>
      </w:r>
      <w:r>
        <w:t xml:space="preserve"> </w:t>
      </w:r>
      <w:r>
        <w:t xml:space="preserve">101(476):1566–81.</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 an entire corpus, the sheer scale of contemporary publication is now beyond even a genius’s capacity.</w:t>
      </w:r>
    </w:p>
  </w:footnote>
  <w:footnote w:id="50">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1">
    <w:p>
      <w:pPr>
        <w:pStyle w:val="FootnoteText"/>
      </w:pPr>
      <w:r>
        <w:rPr>
          <w:rStyle w:val="FootnoteReference"/>
        </w:rPr>
        <w:footnoteRef/>
      </w:r>
      <w:r>
        <w:t xml:space="preserve"> </w:t>
      </w:r>
      <w:r>
        <w:t xml:space="preserve">www.jstor.org/stable/10.2307/27909026</w:t>
      </w:r>
    </w:p>
  </w:footnote>
  <w:footnote w:id="53">
    <w:p>
      <w:pPr>
        <w:pStyle w:val="FootnoteText"/>
      </w:pPr>
      <w:r>
        <w:rPr>
          <w:rStyle w:val="FootnoteReference"/>
        </w:rPr>
        <w:footnoteRef/>
      </w:r>
      <w:r>
        <w:t xml:space="preserve"> </w:t>
      </w:r>
      <w:r>
        <w:t xml:space="preserve">www.jstor.org/stable/10.2307/43795866</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2019-07-23T05:25:57Z</dcterms:created>
  <dcterms:modified xsi:type="dcterms:W3CDTF">2019-07-23T05:25:57Z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2019-07-23</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