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50.png" ContentType="image/png"/>
  <Override PartName="/word/media/rId64.png" ContentType="image/png"/>
  <Override PartName="/word/media/rId48.png" ContentType="image/png"/>
  <Override PartName="/word/media/rId85.png" ContentType="image/png"/>
  <Override PartName="/word/media/rId44.png" ContentType="image/png"/>
  <Override PartName="/word/media/rId52.png" ContentType="image/png"/>
  <Override PartName="/word/media/rId51.png" ContentType="image/png"/>
  <Override PartName="/word/media/rId84.png" ContentType="image/png"/>
  <Override PartName="/word/media/rId67.png" ContentType="image/png"/>
  <Override PartName="/word/media/rId70.png" ContentType="image/png"/>
  <Override PartName="/word/media/rId71.png" ContentType="image/png"/>
  <Override PartName="/word/media/rId23.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2019-01-18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getting-started"/>
      <w:bookmarkEnd w:id="21"/>
      <w:r>
        <w:t xml:space="preserve">Getting Started</w:t>
      </w:r>
    </w:p>
    <w:p>
      <w:pPr>
        <w:pStyle w:val="FirstParagraph"/>
      </w:pPr>
      <w:r>
        <w:t xml:space="preserve">Dear reader,</w:t>
      </w:r>
    </w:p>
    <w:p>
      <w:pPr>
        <w:pStyle w:val="BodyText"/>
      </w:pPr>
      <w:r>
        <w:t xml:space="preserve">Welcome! This study is available as a website,</w:t>
      </w:r>
      <w:r>
        <w:t xml:space="preserve"> </w:t>
      </w:r>
      <w:hyperlink r:id="rId22">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FigureWithCaption"/>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3"/>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type="textWrapping"/>
      </w:r>
      <w:r>
        <w:t xml:space="preserve">Brooks</w:t>
      </w:r>
    </w:p>
    <w:p>
      <w:pPr>
        <w:pStyle w:val="Heading1"/>
      </w:pPr>
      <w:bookmarkStart w:id="24" w:name="knowledge-of-the-u.s.-social-sciences"/>
      <w:bookmarkEnd w:id="24"/>
      <w:r>
        <w:t xml:space="preserve">Knowledge of the U.S. Social Sciences</w:t>
      </w:r>
    </w:p>
    <w:p>
      <w:pPr>
        <w:pStyle w:val="Heading3"/>
      </w:pPr>
      <w:bookmarkStart w:id="25" w:name="introduction"/>
      <w:bookmarkEnd w:id="25"/>
      <w:r>
        <w:t xml:space="preserve">Introduction</w:t>
      </w:r>
    </w:p>
    <w:p>
      <w:pPr>
        <w:pStyle w:val="FirstParagraph"/>
      </w:pPr>
      <w:r>
        <w:t xml:space="preserve">(ref:abs-int)</w:t>
      </w:r>
    </w:p>
    <w:p>
      <w:pPr>
        <w:pStyle w:val="BodyText"/>
      </w:pPr>
      <w:r>
        <w:t xml:space="preserve">(ref:abs-int)</w:t>
      </w:r>
    </w:p>
    <w:p>
      <w:pPr>
        <w:pStyle w:val="BodyText"/>
      </w:pPr>
      <w:r>
        <w:rPr>
          <w:b/>
        </w:rPr>
        <w:t xml:space="preserve">Keywords</w:t>
      </w:r>
      <w:r>
        <w:t xml:space="preserve">: (ref: key-int)</w:t>
      </w:r>
    </w:p>
    <w:p>
      <w:pPr>
        <w:pStyle w:val="Heading3"/>
      </w:pPr>
      <w:bookmarkStart w:id="26" w:name="social-science-genres-today"/>
      <w:bookmarkEnd w:id="26"/>
      <w:r>
        <w:t xml:space="preserve">Social Science Genres Today</w:t>
      </w:r>
    </w:p>
    <w:p>
      <w:pPr>
        <w:pStyle w:val="FirstParagraph"/>
      </w:pPr>
      <w:r>
        <w:t xml:space="preserve">(ref:abs-gen)</w:t>
      </w:r>
    </w:p>
    <w:p>
      <w:pPr>
        <w:pStyle w:val="BodyText"/>
      </w:pPr>
      <w:r>
        <w:t xml:space="preserve">(ref:abs-gen)</w:t>
      </w:r>
    </w:p>
    <w:p>
      <w:pPr>
        <w:pStyle w:val="BodyText"/>
      </w:pPr>
      <w:r>
        <w:t xml:space="preserve">(ref:key-gen)</w:t>
      </w:r>
    </w:p>
    <w:p>
      <w:pPr>
        <w:pStyle w:val="BodyText"/>
      </w:pPr>
      <w:r>
        <w:rPr>
          <w:b/>
        </w:rPr>
        <w:t xml:space="preserve">Keywords</w:t>
      </w:r>
      <w:r>
        <w:t xml:space="preserve">: (ref: key-gen)</w:t>
      </w:r>
    </w:p>
    <w:p>
      <w:pPr>
        <w:pStyle w:val="Heading3"/>
      </w:pPr>
      <w:bookmarkStart w:id="27" w:name="the-social-science-citation-landscape-1900-1940"/>
      <w:bookmarkEnd w:id="27"/>
      <w:r>
        <w:t xml:space="preserve">The Social Science Citation Landscape, 1900-1940</w:t>
      </w:r>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vocabularies-of-anthropology-and-sociology-1888-1922"/>
      <w:bookmarkEnd w:id="28"/>
      <w:r>
        <w:t xml:space="preserve">Vocabularies of Anthropology and Sociology, 1888-1922</w:t>
      </w:r>
    </w:p>
    <w:p>
      <w:pPr>
        <w:pStyle w:val="FirstParagraph"/>
      </w:pPr>
      <w:r>
        <w:t xml:space="preserve">Knowledge development of journals is measured as the change in topic prevalence over time.</w:t>
      </w:r>
    </w:p>
    <w:p>
      <w:pPr>
        <w:pStyle w:val="BodyText"/>
      </w:pPr>
      <w:r>
        <w:rPr>
          <w:b/>
        </w:rPr>
        <w:t xml:space="preserve">Keywords</w:t>
      </w:r>
      <w:r>
        <w:t xml:space="preserve">: (ref: key-voc)</w:t>
      </w:r>
    </w:p>
    <w:p>
      <w:pPr>
        <w:pStyle w:val="Heading1"/>
      </w:pPr>
      <w:bookmarkStart w:id="29" w:name="int"/>
      <w:bookmarkEnd w:id="29"/>
      <w:r>
        <w:t xml:space="preserve">Introduction</w:t>
      </w:r>
    </w:p>
    <w:p>
      <w:pPr>
        <w:pStyle w:val="Heading4"/>
      </w:pPr>
      <w:bookmarkStart w:id="30" w:name="abstract"/>
      <w:bookmarkEnd w:id="30"/>
      <w:r>
        <w:t xml:space="preserve">Abstract</w:t>
      </w:r>
    </w:p>
    <w:p>
      <w:pPr>
        <w:pStyle w:val="FirstParagraph"/>
      </w:pPr>
      <w:r>
        <w:t xml:space="preserve">(ref:abs-int)</w:t>
      </w:r>
    </w:p>
    <w:p>
      <w:pPr>
        <w:pStyle w:val="Heading4"/>
      </w:pPr>
      <w:bookmarkStart w:id="31" w:name="keywords"/>
      <w:bookmarkEnd w:id="31"/>
      <w:r>
        <w:t xml:space="preserve">Keywords</w:t>
      </w:r>
    </w:p>
    <w:p>
      <w:pPr>
        <w:pStyle w:val="FirstParagraph"/>
      </w:pPr>
      <w:r>
        <w:t xml:space="preserve">sociology of knowledge, topic modeling, history of social science</w:t>
      </w:r>
    </w:p>
    <w:p>
      <w:pPr>
        <w:pStyle w:val="Heading2"/>
      </w:pPr>
      <w:bookmarkStart w:id="32" w:name="kd"/>
      <w:bookmarkEnd w:id="32"/>
      <w:r>
        <w:t xml:space="preserve">Knowledge Development</w:t>
      </w:r>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33" w:name="topics-ideas"/>
      <w:bookmarkEnd w:id="33"/>
      <w:r>
        <w:t xml:space="preserve">Topics ≟ Ideas</w:t>
      </w:r>
    </w:p>
    <w:p>
      <w:pPr>
        <w:pStyle w:val="FirstParagraph"/>
      </w:pPr>
      <w:r>
        <w:t xml:space="preserve">The strategy of the study occurs in four steps.</w:t>
      </w:r>
    </w:p>
    <w:p>
      <w:pPr>
        <w:pStyle w:val="Compact"/>
        <w:numPr>
          <w:numId w:val="1002"/>
          <w:ilvl w:val="0"/>
        </w:numPr>
      </w:pPr>
      <w:r>
        <w:t xml:space="preserve">Sort text into categories of similar vocabulary.</w:t>
      </w:r>
    </w:p>
    <w:p>
      <w:pPr>
        <w:pStyle w:val="Compact"/>
        <w:numPr>
          <w:numId w:val="1002"/>
          <w:ilvl w:val="0"/>
        </w:numPr>
      </w:pPr>
      <w:r>
        <w:t xml:space="preserve">Describe the vocabularies that define category membership.</w:t>
      </w:r>
    </w:p>
    <w:p>
      <w:pPr>
        <w:pStyle w:val="Compact"/>
        <w:numPr>
          <w:numId w:val="1002"/>
          <w:ilvl w:val="0"/>
        </w:numPr>
      </w:pPr>
      <w:r>
        <w:t xml:space="preserve">Describe vocabulary prevalence across time and discipline.</w:t>
      </w:r>
    </w:p>
    <w:p>
      <w:pPr>
        <w:pStyle w:val="Compact"/>
        <w:numPr>
          <w:numId w:val="1002"/>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34" w:name="kd-lit"/>
      <w:bookmarkEnd w:id="34"/>
      <w:r>
        <w:t xml:space="preserve">Prior Work</w:t>
      </w:r>
    </w:p>
    <w:p>
      <w:pPr>
        <w:pStyle w:val="Heading2"/>
      </w:pPr>
      <w:bookmarkStart w:id="35" w:name="information"/>
      <w:bookmarkEnd w:id="35"/>
      <w:r>
        <w:t xml:space="preserve">Information</w:t>
      </w:r>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(Boyd-Graber, Hu, and Mimno</w:t>
      </w:r>
      <w:r>
        <w:t xml:space="preserve"> </w:t>
      </w:r>
      <w:hyperlink w:anchor="ref-Boyd-Graber2017Applications">
        <w:r>
          <w:rPr>
            <w:rStyle w:val="Hyperlink"/>
          </w:rPr>
          <w:t xml:space="preserve">2017</w:t>
        </w:r>
      </w:hyperlink>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36" w:name="meaning"/>
      <w:bookmarkEnd w:id="36"/>
      <w:r>
        <w:t xml:space="preserve">Meaning</w:t>
      </w:r>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37" w:name="communication"/>
      <w:bookmarkEnd w:id="37"/>
      <w:r>
        <w:t xml:space="preserve">Communication</w:t>
      </w:r>
    </w:p>
    <w:p>
      <w:pPr>
        <w:pStyle w:val="FirstParagraph"/>
      </w:pPr>
      <w:r>
        <w:t xml:space="preserve">representational style</w:t>
      </w:r>
      <w:r>
        <w:t xml:space="preserve"> </w:t>
      </w:r>
      <w:r>
        <w:t xml:space="preserve">(Grimmer</w:t>
      </w:r>
      <w:r>
        <w:t xml:space="preserve"> </w:t>
      </w:r>
      <w:hyperlink w:anchor="ref-Grimmer2016Measuring">
        <w:r>
          <w:rPr>
            <w:rStyle w:val="Hyperlink"/>
          </w:rPr>
          <w:t xml:space="preserve">2016</w:t>
        </w:r>
      </w:hyperlink>
      <w:r>
        <w:t xml:space="preserve">)</w:t>
      </w:r>
      <w:r>
        <w:t xml:space="preserve"> </w:t>
      </w:r>
      <w:r>
        <w:t xml:space="preserve">frame</w:t>
      </w:r>
      <w:r>
        <w:t xml:space="preserve"> </w:t>
      </w:r>
      <w:r>
        <w:t xml:space="preserve">(DiMaggio, Nag, and Blei</w:t>
      </w:r>
      <w:r>
        <w:t xml:space="preserve"> </w:t>
      </w:r>
      <w:hyperlink w:anchor="ref-DiMaggio2013Exploiting">
        <w:r>
          <w:rPr>
            <w:rStyle w:val="Hyperlink"/>
          </w:rPr>
          <w:t xml:space="preserve">2013</w:t>
        </w:r>
      </w:hyperlink>
      <w:r>
        <w:t xml:space="preserve">)</w:t>
      </w:r>
    </w:p>
    <w:p>
      <w:pPr>
        <w:pStyle w:val="Heading1"/>
      </w:pPr>
      <w:bookmarkStart w:id="38" w:name="gen"/>
      <w:bookmarkEnd w:id="38"/>
      <w:r>
        <w:t xml:space="preserve">Social Science Genres Today</w:t>
      </w:r>
    </w:p>
    <w:p>
      <w:pPr>
        <w:pStyle w:val="Heading4"/>
      </w:pPr>
      <w:bookmarkStart w:id="39" w:name="abstract-1"/>
      <w:bookmarkEnd w:id="39"/>
      <w:r>
        <w:t xml:space="preserve">Abstract</w:t>
      </w:r>
    </w:p>
    <w:p>
      <w:pPr>
        <w:pStyle w:val="FirstParagraph"/>
      </w:pPr>
      <w:r>
        <w:t xml:space="preserve">(ref:abs-gen)</w:t>
      </w:r>
    </w:p>
    <w:p>
      <w:pPr>
        <w:pStyle w:val="Heading4"/>
      </w:pPr>
      <w:bookmarkStart w:id="40" w:name="keywords-1"/>
      <w:bookmarkEnd w:id="40"/>
      <w:r>
        <w:t xml:space="preserve">Keywords</w:t>
      </w:r>
    </w:p>
    <w:p>
      <w:pPr>
        <w:pStyle w:val="FirstParagraph"/>
      </w:pPr>
      <w:r>
        <w:t xml:space="preserve">(ref:key-gen)</w:t>
      </w:r>
    </w:p>
    <w:p>
      <w:pPr>
        <w:pStyle w:val="Heading2"/>
      </w:pPr>
      <w:bookmarkStart w:id="41" w:name="kd-dq1"/>
      <w:bookmarkEnd w:id="41"/>
      <w:r>
        <w:t xml:space="preserve">JSTOR Journals</w:t>
      </w:r>
    </w:p>
    <w:p>
      <w:pPr>
        <w:pStyle w:val="FirstParagraph"/>
      </w:pPr>
      <w:r>
        <w:t xml:space="preserve">We rely on the JSTOR digital archive which gives access to optical scans of historical journals. JSTOR provides a title list of their journal coverage</w:t>
      </w:r>
      <w:r>
        <w:t xml:space="preserve"> </w:t>
      </w:r>
      <w:r>
        <w:t xml:space="preserve">(JSTOR</w:t>
      </w:r>
      <w:r>
        <w:t xml:space="preserve"> </w:t>
      </w:r>
      <w:hyperlink w:anchor="ref-JSTOR2018Title">
        <w:r>
          <w:rPr>
            <w:rStyle w:val="Hyperlink"/>
          </w:rPr>
          <w:t xml:space="preserve">2018</w:t>
        </w:r>
      </w:hyperlink>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42"/>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43" w:name="network-mode-projection"/>
      <w:bookmarkEnd w:id="43"/>
      <w:r>
        <w:t xml:space="preserve">Network Mode Projection</w:t>
      </w:r>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2</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FigureWithCaption"/>
      </w:pPr>
      <w:r>
        <w:drawing>
          <wp:inline>
            <wp:extent cx="5334000" cy="2667000"/>
            <wp:effectExtent b="0" l="0" r="0" t="0"/>
            <wp:docPr descr="Figure 2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2</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five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45" w:name="network-community-detection"/>
      <w:bookmarkEnd w:id="45"/>
      <w:r>
        <w:t xml:space="preserve">Network Community Detection</w:t>
      </w:r>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 Fortunato and Hric</w:t>
      </w:r>
      <w:r>
        <w:t xml:space="preserve"> </w:t>
      </w:r>
      <w:hyperlink w:anchor="ref-Fortunato2016Community">
        <w:r>
          <w:rPr>
            <w:rStyle w:val="Hyperlink"/>
          </w:rPr>
          <w:t xml:space="preserve">2016</w:t>
        </w:r>
      </w:hyperlink>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(Blondel et al.</w:t>
      </w:r>
      <w:r>
        <w:t xml:space="preserve"> </w:t>
      </w:r>
      <w:hyperlink w:anchor="ref-Blondel2008Fast">
        <w:r>
          <w:rPr>
            <w:rStyle w:val="Hyperlink"/>
          </w:rPr>
          <w:t xml:space="preserve">2008</w:t>
        </w:r>
      </w:hyperlink>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(Newman and Girvan</w:t>
      </w:r>
      <w:r>
        <w:t xml:space="preserve"> </w:t>
      </w:r>
      <w:hyperlink w:anchor="ref-Newman2004Finding">
        <w:r>
          <w:rPr>
            <w:rStyle w:val="Hyperlink"/>
          </w:rPr>
          <w:t xml:space="preserve">2004</w:t>
        </w:r>
      </w:hyperlink>
      <w:r>
        <w:t xml:space="preserve">:8)</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46" w:name="network-visualization"/>
      <w:bookmarkEnd w:id="46"/>
      <w:r>
        <w:t xml:space="preserve">Network Visualization</w:t>
      </w:r>
    </w:p>
    <w:p>
      <w:pPr>
        <w:pStyle w:val="FirstParagraph"/>
      </w:pPr>
      <w:r>
        <w:t xml:space="preserve">Figure</w:t>
      </w:r>
      <w:r>
        <w:t xml:space="preserve"> </w:t>
      </w:r>
      <w:r>
        <w:t xml:space="preserve">3</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 Krivitsky and Handcock</w:t>
      </w:r>
      <w:r>
        <w:t xml:space="preserve"> </w:t>
      </w:r>
      <w:hyperlink w:anchor="ref-Krivitsky2008Fitting">
        <w:r>
          <w:rPr>
            <w:rStyle w:val="Hyperlink"/>
          </w:rPr>
          <w:t xml:space="preserve">2008</w:t>
        </w:r>
      </w:hyperlink>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3</w:t>
      </w:r>
      <w:r>
        <w:t xml:space="preserve"> </w:t>
      </w:r>
      <w:r>
        <w:t xml:space="preserve">plots the results of a latent space model on the label facet omitting superdiscipline nodes.</w:t>
      </w:r>
    </w:p>
    <w:p>
      <w:pPr>
        <w:pStyle w:val="FigureWithCaption"/>
      </w:pPr>
      <w:r>
        <w:drawing>
          <wp:inline>
            <wp:extent cx="5334000" cy="4267200"/>
            <wp:effectExtent b="0" l="0" r="0" t="0"/>
            <wp:docPr descr="Figure 3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FigureWithCaption"/>
      </w:pPr>
      <w:r>
        <w:drawing>
          <wp:inline>
            <wp:extent cx="5334000" cy="4267200"/>
            <wp:effectExtent b="0" l="0" r="0" t="0"/>
            <wp:docPr descr="Figure 4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2"/>
      </w:pPr>
      <w:bookmarkStart w:id="49" w:name="kd-dq2"/>
      <w:bookmarkEnd w:id="49"/>
      <w:r>
        <w:t xml:space="preserve">Social Science Journals</w:t>
      </w:r>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FigureWithCaption"/>
      </w:pPr>
      <w:r>
        <w:drawing>
          <wp:inline>
            <wp:extent cx="5334000" cy="4267200"/>
            <wp:effectExtent b="0" l="0" r="0" t="0"/>
            <wp:docPr descr="Figure 5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Periods in the Growth of the Number of Social Science Journals in the JSTOR Archive</w:t>
      </w:r>
    </w:p>
    <w:p>
      <w:pPr>
        <w:pStyle w:val="FigureWithCaption"/>
      </w:pPr>
      <w:r>
        <w:drawing>
          <wp:inline>
            <wp:extent cx="5334000" cy="4267200"/>
            <wp:effectExtent b="0" l="0" r="0" t="0"/>
            <wp:docPr descr="Figure 6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Decennial growth in number of PhD degrees conferred in the U.S.</w:t>
      </w:r>
    </w:p>
    <w:p>
      <w:pPr>
        <w:pStyle w:val="FigureWithCaption"/>
      </w:pPr>
      <w:r>
        <w:drawing>
          <wp:inline>
            <wp:extent cx="5334000" cy="4267200"/>
            <wp:effectExtent b="0" l="0" r="0" t="0"/>
            <wp:docPr descr="Figure 7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1"/>
      </w:pPr>
      <w:bookmarkStart w:id="53" w:name="cit"/>
      <w:bookmarkEnd w:id="53"/>
      <w:r>
        <w:t xml:space="preserve">The Social Science Citation Landscape, 1900-1940</w:t>
      </w:r>
    </w:p>
    <w:p>
      <w:pPr>
        <w:pStyle w:val="Heading4"/>
      </w:pPr>
      <w:bookmarkStart w:id="54" w:name="abstract-2"/>
      <w:bookmarkEnd w:id="54"/>
      <w:r>
        <w:t xml:space="preserve">Abstract</w:t>
      </w:r>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55" w:name="keywords-2"/>
      <w:bookmarkEnd w:id="55"/>
      <w:r>
        <w:t xml:space="preserve">Keywords</w:t>
      </w:r>
    </w:p>
    <w:p>
      <w:pPr>
        <w:pStyle w:val="FirstParagraph"/>
      </w:pPr>
      <w:r>
        <w:t xml:space="preserve">citations, k-clique communities, community detection, landscape</w:t>
      </w:r>
    </w:p>
    <w:p>
      <w:pPr>
        <w:pStyle w:val="Heading2"/>
      </w:pPr>
      <w:bookmarkStart w:id="56" w:name="introduction-1"/>
      <w:bookmarkEnd w:id="56"/>
      <w:r>
        <w:t xml:space="preserve">Introduction</w:t>
      </w:r>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57" w:name="scholarly-communication-vs-knowledge-terrain"/>
      <w:bookmarkEnd w:id="57"/>
      <w:r>
        <w:t xml:space="preserve">Scholarly Communication vs Knowledge Terrain</w:t>
      </w:r>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artifacts referenced by socially superior scholars?</w:t>
      </w:r>
    </w:p>
    <w:p>
      <w:pPr>
        <w:pStyle w:val="Heading3"/>
      </w:pPr>
      <w:bookmarkStart w:id="58" w:name="wok"/>
      <w:bookmarkEnd w:id="58"/>
      <w:r>
        <w:t xml:space="preserve">Mapping Knowledge Terrain</w:t>
      </w:r>
    </w:p>
    <w:p>
      <w:pPr>
        <w:pStyle w:val="Heading4"/>
      </w:pPr>
      <w:bookmarkStart w:id="59" w:name="knowledge-stuff"/>
      <w:bookmarkEnd w:id="59"/>
      <w:r>
        <w:t xml:space="preserve">knowledge stuff</w:t>
      </w:r>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(Pilkington and Meredith</w:t>
      </w:r>
      <w:r>
        <w:t xml:space="preserve"> </w:t>
      </w:r>
      <w:hyperlink w:anchor="ref-Pilkington2009evolution">
        <w:r>
          <w:rPr>
            <w:rStyle w:val="Hyperlink"/>
          </w:rPr>
          <w:t xml:space="preserve">2009</w:t>
        </w:r>
      </w:hyperlink>
      <w:r>
        <w:t xml:space="preserve">)</w:t>
      </w:r>
    </w:p>
    <w:p>
      <w:pPr>
        <w:pStyle w:val="Heading3"/>
      </w:pPr>
      <w:bookmarkStart w:id="60" w:name="disciplines-as-a-large-world-co-reference-network"/>
      <w:bookmarkEnd w:id="60"/>
      <w:r>
        <w:t xml:space="preserve">Disciplines as a Large World Co-reference Network</w:t>
      </w:r>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61" w:name="methods"/>
      <w:bookmarkEnd w:id="61"/>
      <w:r>
        <w:t xml:space="preserve">Methods</w:t>
      </w:r>
    </w:p>
    <w:p>
      <w:pPr>
        <w:pStyle w:val="Heading2"/>
      </w:pPr>
      <w:bookmarkStart w:id="62" w:name="data"/>
      <w:bookmarkEnd w:id="62"/>
      <w:r>
        <w:t xml:space="preserve">Data</w:t>
      </w:r>
    </w:p>
    <w:p>
      <w:pPr>
        <w:pStyle w:val="Heading2"/>
      </w:pPr>
      <w:bookmarkStart w:id="63" w:name="results"/>
      <w:bookmarkEnd w:id="63"/>
      <w:r>
        <w:t xml:space="preserve">Results</w:t>
      </w:r>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FigureWithCaption"/>
      </w:pPr>
      <w:r>
        <w:drawing>
          <wp:inline>
            <wp:extent cx="5334000" cy="4267200"/>
            <wp:effectExtent b="0" l="0" r="0" t="0"/>
            <wp:docPr descr="Figure 8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K-clique Community Structure (</w:t>
      </w:r>
      <w:hyperlink r:id="rId65">
        <w:r>
          <w:rPr>
            <w:rStyle w:val="Hyperlink"/>
          </w:rPr>
          <w:t xml:space="preserve">popout</w:t>
        </w:r>
      </w:hyperlink>
      <w:r>
        <w:t xml:space="preserve">)</w:t>
      </w:r>
    </w:p>
    <w:p>
      <w:pPr>
        <w:pStyle w:val="BodyText"/>
      </w:pPr>
      <w:r>
        <w:t xml:space="preserve">Figure</w:t>
      </w:r>
      <w:r>
        <w:t xml:space="preserve"> </w:t>
      </w:r>
      <w:r>
        <w:t xml:space="preserve">(fig:kcc2tree) 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66" w:name="continents"/>
      <w:bookmarkEnd w:id="66"/>
      <w:r>
        <w:t xml:space="preserve">Continents</w:t>
      </w:r>
    </w:p>
    <w:p>
      <w:pPr>
        <w:pStyle w:val="FirstParagraph"/>
      </w:pPr>
      <w:r>
        <w:t xml:space="preserve">The global map is made of many separate regions ranging in scale from large continents to small isles. These regions are either showlowly connected or totally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FigureWithCaption"/>
      </w:pPr>
      <w:r>
        <w:drawing>
          <wp:inline>
            <wp:extent cx="5334000" cy="3429000"/>
            <wp:effectExtent b="0" l="0" r="0" t="0"/>
            <wp:docPr descr="Figure 9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67"/>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9 Flat Isles, where Reviewers tend their Flock</w:t>
      </w:r>
    </w:p>
    <w:p>
      <w:pPr>
        <w:pStyle w:val="BodyText"/>
      </w:pPr>
      <w:r>
        <w:t xml:space="preserve">The most substantial flat isle</w:t>
      </w:r>
      <w:r>
        <w:t xml:space="preserve"> </w:t>
      </w:r>
      <w:r>
        <w:t xml:space="preserve"> </w:t>
      </w:r>
      <w:r>
        <w:t xml:space="preserve">comes from four authors publishing in the same 1930</w:t>
      </w:r>
      <w:r>
        <w:t xml:space="preserve"> </w:t>
      </w:r>
      <w:hyperlink r:id="rId68">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 Indeed 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69">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and containing 25 references, includes subsections of the bibliographies of three other articles that do not themselves overlap.</w:t>
      </w:r>
    </w:p>
    <w:p>
      <w:pPr>
        <w:pStyle w:val="FigureWithCaption"/>
      </w:pPr>
      <w:r>
        <w:drawing>
          <wp:inline>
            <wp:extent cx="5334000" cy="3429000"/>
            <wp:effectExtent b="0" l="0" r="0" t="0"/>
            <wp:docPr descr="Figure 10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70"/>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10 Hill Isles, where the Wild Things Are</w:t>
      </w:r>
    </w:p>
    <w:p>
      <w:pPr>
        <w:pStyle w:val="BodyText"/>
      </w:pPr>
      <w:r>
        <w:t xml:space="preserve">Reviews, whether they are formally labeled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FigureWithCaption"/>
      </w:pPr>
      <w:r>
        <w:drawing>
          <wp:inline>
            <wp:extent cx="5334000" cy="3048000"/>
            <wp:effectExtent b="0" l="0" r="0" t="0"/>
            <wp:docPr descr="Figure 11 Hill Isle in Graph Layout" title="" id="1" name="Picture"/>
            <a:graphic>
              <a:graphicData uri="http://schemas.openxmlformats.org/drawingml/2006/picture">
                <pic:pic>
                  <pic:nvPicPr>
                    <pic:cNvPr descr="img/k3c1-22.png" id="0" name="Picture"/>
                    <pic:cNvPicPr>
                      <a:picLocks noChangeArrowheads="1" noChangeAspect="1"/>
                    </pic:cNvPicPr>
                  </pic:nvPicPr>
                  <pic:blipFill>
                    <a:blip r:embed="rId7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11 Hill Isle in Graph Layout</w:t>
      </w:r>
    </w:p>
    <w:p>
      <w:pPr>
        <w:pStyle w:val="Heading3"/>
      </w:pPr>
      <w:bookmarkStart w:id="72" w:name="peaks"/>
      <w:bookmarkEnd w:id="72"/>
      <w:r>
        <w:t xml:space="preserve">Peaks</w:t>
      </w:r>
    </w:p>
    <w:p>
      <w:pPr>
        <w:pStyle w:val="FirstParagraph"/>
      </w:pPr>
      <w:r>
        <w:t xml:space="preserve">The KCC model reveals</w:t>
      </w:r>
    </w:p>
    <w:p>
      <w:pPr>
        <w:pStyle w:val="Heading3"/>
      </w:pPr>
      <w:bookmarkStart w:id="73" w:name="valleys"/>
      <w:bookmarkEnd w:id="73"/>
      <w:r>
        <w:t xml:space="preserve">Valleys</w:t>
      </w:r>
    </w:p>
    <w:p>
      <w:pPr>
        <w:pStyle w:val="Heading3"/>
      </w:pPr>
      <w:bookmarkStart w:id="74" w:name="do-reference-lists-describe-author-knowledge"/>
      <w:bookmarkEnd w:id="74"/>
      <w:r>
        <w:t xml:space="preserve">Do reference lists describe author knowledge?</w:t>
      </w:r>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75" w:name="voc"/>
      <w:bookmarkEnd w:id="75"/>
      <w:r>
        <w:t xml:space="preserve">Vocabularies of Anthropology and Sociology, 1888-1922</w:t>
      </w:r>
    </w:p>
    <w:p>
      <w:pPr>
        <w:pStyle w:val="Heading4"/>
      </w:pPr>
      <w:bookmarkStart w:id="76" w:name="abstract-3"/>
      <w:bookmarkEnd w:id="76"/>
      <w:r>
        <w:t xml:space="preserve">Abstract</w:t>
      </w:r>
    </w:p>
    <w:p>
      <w:pPr>
        <w:pStyle w:val="FirstParagraph"/>
      </w:pPr>
      <w:r>
        <w:t xml:space="preserve">Knowledge development of journals is measured as the change in topic prevalence over time.</w:t>
      </w:r>
    </w:p>
    <w:p>
      <w:pPr>
        <w:pStyle w:val="Heading4"/>
      </w:pPr>
      <w:bookmarkStart w:id="77" w:name="keywords-3"/>
      <w:bookmarkEnd w:id="77"/>
      <w:r>
        <w:t xml:space="preserve">Keywords</w:t>
      </w:r>
    </w:p>
    <w:p>
      <w:pPr>
        <w:pStyle w:val="FirstParagraph"/>
      </w:pPr>
      <w:r>
        <w:t xml:space="preserve">topic modeling</w:t>
      </w:r>
    </w:p>
    <w:p>
      <w:pPr>
        <w:pStyle w:val="Heading2"/>
      </w:pPr>
      <w:bookmarkStart w:id="78" w:name="full-text"/>
      <w:bookmarkEnd w:id="78"/>
      <w:r>
        <w:t xml:space="preserve">Full-Text</w:t>
      </w:r>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(Schreibman</w:t>
      </w:r>
      <w:r>
        <w:t xml:space="preserve"> </w:t>
      </w:r>
      <w:hyperlink w:anchor="ref-Schreibman2014NonConsumptive">
        <w:r>
          <w:rPr>
            <w:rStyle w:val="Hyperlink"/>
          </w:rPr>
          <w:t xml:space="preserve">2014</w:t>
        </w:r>
      </w:hyperlink>
      <w:r>
        <w:t xml:space="preserve">:149)</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79" w:name="kd-dd"/>
      <w:bookmarkEnd w:id="79"/>
      <w:r>
        <w:t xml:space="preserve">Data</w:t>
      </w:r>
    </w:p>
    <w:p>
      <w:pPr>
        <w:pStyle w:val="FirstParagraph"/>
      </w:pPr>
      <w:r>
        <w:t xml:space="preserve">Every record for every journal was downloaded manually, including front and back matter, articles, and book reviews.</w:t>
      </w:r>
    </w:p>
    <w:p>
      <w:pPr>
        <w:pStyle w:val="Heading2"/>
      </w:pPr>
      <w:bookmarkStart w:id="80" w:name="kd-dp1"/>
      <w:bookmarkEnd w:id="80"/>
      <w:r>
        <w:t xml:space="preserve">Sampling</w:t>
      </w:r>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81" w:name="units-of-analysis"/>
      <w:bookmarkEnd w:id="81"/>
      <w:r>
        <w:t xml:space="preserve">Units of Analysis</w:t>
      </w:r>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82" w:name="kd-dp2"/>
      <w:bookmarkEnd w:id="82"/>
      <w:r>
        <w:t xml:space="preserve">Topics</w:t>
      </w:r>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83" w:name="how-many-topics"/>
      <w:bookmarkEnd w:id="83"/>
      <w:r>
        <w:t xml:space="preserve">How many topics?</w:t>
      </w:r>
    </w:p>
    <w:p>
      <w:pPr>
        <w:pStyle w:val="FigureWithCaption"/>
      </w:pPr>
      <w:r>
        <w:drawing>
          <wp:inline>
            <wp:extent cx="4620126" cy="3696101"/>
            <wp:effectExtent b="0" l="0" r="0" t="0"/>
            <wp:docPr descr="Figure 12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FigureWithCaption"/>
      </w:pPr>
      <w:r>
        <w:drawing>
          <wp:inline>
            <wp:extent cx="4620126" cy="3696101"/>
            <wp:effectExtent b="0" l="0" r="0" t="0"/>
            <wp:docPr descr="Figure 13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Significant Counts of K</w:t>
      </w:r>
    </w:p>
    <w:p>
      <w:pPr>
        <w:pStyle w:val="Heading2"/>
      </w:pPr>
      <w:bookmarkStart w:id="86" w:name="model-selection"/>
      <w:bookmarkEnd w:id="86"/>
      <w:r>
        <w:t xml:space="preserve">Model selection</w:t>
      </w:r>
    </w:p>
    <w:p>
      <w:pPr>
        <w:pStyle w:val="Bibliography"/>
      </w:pPr>
      <w:r>
        <w:t xml:space="preserve">Blondel, Vincent D., Jean-Loup Guillaume, Renaud Lambiotte, and Etienne Lefebvre. 2008. “Fast Unfolding of Communities in Large Networks.”</w:t>
      </w:r>
    </w:p>
    <w:p>
      <w:pPr>
        <w:pStyle w:val="Bibliography"/>
      </w:pPr>
      <w:r>
        <w:t xml:space="preserve">Boyd-Graber, Jordan, Yuening Hu, and David Mimno. 2017. “Applications of Topic Models.”</w:t>
      </w:r>
      <w:r>
        <w:t xml:space="preserve"> </w:t>
      </w:r>
      <w:r>
        <w:rPr>
          <w:i/>
        </w:rPr>
        <w:t xml:space="preserve">Foundations and Trends® in Information Retrieval</w:t>
      </w:r>
      <w:r>
        <w:t xml:space="preserve"> </w:t>
      </w:r>
      <w:r>
        <w:t xml:space="preserve">11(2-3):143–296.</w:t>
      </w:r>
    </w:p>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p>
      <w:pPr>
        <w:pStyle w:val="Bibliography"/>
      </w:pPr>
      <w:r>
        <w:t xml:space="preserve">Fortunato, Santo and Darko Hric. 2016. “Community Detection in Networks: A User Guide.”</w:t>
      </w:r>
      <w:r>
        <w:t xml:space="preserve"> </w:t>
      </w:r>
      <w:r>
        <w:rPr>
          <w:i/>
        </w:rPr>
        <w:t xml:space="preserve">Physics Reports</w:t>
      </w:r>
      <w:r>
        <w:t xml:space="preserve"> </w:t>
      </w:r>
      <w:r>
        <w:t xml:space="preserve">659:1–44.</w:t>
      </w:r>
    </w:p>
    <w:p>
      <w:pPr>
        <w:pStyle w:val="Bibliography"/>
      </w:pPr>
      <w:r>
        <w:t xml:space="preserve">Grimmer, Justin. 2016. “Measuring Representational Style in the House: The Tea Party, Obama, and Legislators’ Changing Expressed Priorities.” Pp. 225–45 in</w:t>
      </w:r>
      <w:r>
        <w:t xml:space="preserve"> </w:t>
      </w:r>
      <w:r>
        <w:rPr>
          <w:i/>
        </w:rPr>
        <w:t xml:space="preserve">Computational Social Science: Discovery and Prediction</w:t>
      </w:r>
      <w:r>
        <w:t xml:space="preserve">,</w:t>
      </w:r>
      <w:r>
        <w:t xml:space="preserve"> </w:t>
      </w:r>
      <w:r>
        <w:rPr>
          <w:i/>
        </w:rPr>
        <w:t xml:space="preserve">Analytical Methods for Social Research</w:t>
      </w:r>
      <w:r>
        <w:t xml:space="preserve">, edited by R. M. Alvarez. New York, NY: Cambridge University Press.</w:t>
      </w:r>
    </w:p>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p>
      <w:pPr>
        <w:pStyle w:val="Bibliography"/>
      </w:pPr>
      <w:r>
        <w:t xml:space="preserve">JSTOR. 2018. “Title Lists.”</w:t>
      </w:r>
      <w:r>
        <w:t xml:space="preserve"> </w:t>
      </w:r>
      <w:r>
        <w:rPr>
          <w:i/>
        </w:rPr>
        <w:t xml:space="preserve">JSTOR Support Home</w:t>
      </w:r>
      <w:r>
        <w:t xml:space="preserve">.</w:t>
      </w:r>
    </w:p>
    <w:p>
      <w:pPr>
        <w:pStyle w:val="Bibliography"/>
      </w:pPr>
      <w:r>
        <w:t xml:space="preserve">Krivitsky, Pavel N. and Mark S. Handcock. 2008. “Fitting Position Latent Cluster Models for Social Networks with Latentnet.”</w:t>
      </w:r>
      <w:r>
        <w:t xml:space="preserve"> </w:t>
      </w:r>
      <w:r>
        <w:rPr>
          <w:i/>
        </w:rPr>
        <w:t xml:space="preserve">Journal of Statistical Software</w:t>
      </w:r>
      <w:r>
        <w:t xml:space="preserve"> </w:t>
      </w:r>
      <w:r>
        <w:t xml:space="preserve">24.</w:t>
      </w:r>
    </w:p>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p>
      <w:pPr>
        <w:pStyle w:val="Bibliography"/>
      </w:pPr>
      <w:r>
        <w:t xml:space="preserve">Newman, M. E. J. and M. Girvan. 2004. “Finding and Evaluating Community Structure in Networks.”</w:t>
      </w:r>
      <w:r>
        <w:t xml:space="preserve"> </w:t>
      </w:r>
      <w:r>
        <w:rPr>
          <w:i/>
        </w:rPr>
        <w:t xml:space="preserve">Physical Review E</w:t>
      </w:r>
      <w:r>
        <w:t xml:space="preserve"> </w:t>
      </w:r>
      <w:r>
        <w:t xml:space="preserve">69(2):026113.</w:t>
      </w:r>
    </w:p>
    <w:p>
      <w:pPr>
        <w:pStyle w:val="Bibliography"/>
      </w:pPr>
      <w:r>
        <w:t xml:space="preserve">Pilkington, Alan and Jack Meredith. 2009. “The Evolution of the Intellectual Structure of Operations Management—1980–2006: A Citation/Co-Citation Analysis.”</w:t>
      </w:r>
      <w:r>
        <w:t xml:space="preserve"> </w:t>
      </w:r>
      <w:r>
        <w:rPr>
          <w:i/>
        </w:rPr>
        <w:t xml:space="preserve">Journal of Operations Management</w:t>
      </w:r>
      <w:r>
        <w:t xml:space="preserve"> </w:t>
      </w:r>
      <w:r>
        <w:t xml:space="preserve">27(3):185–202.</w:t>
      </w:r>
    </w:p>
    <w:p>
      <w:pPr>
        <w:pStyle w:val="Bibliography"/>
      </w:pPr>
      <w:r>
        <w:t xml:space="preserve">Schreibman, Susan. 2014. “Non-Consumptive Reading.” Pp. 148–65 in</w:t>
      </w:r>
      <w:r>
        <w:t xml:space="preserve"> </w:t>
      </w:r>
      <w:r>
        <w:rPr>
          <w:i/>
        </w:rPr>
        <w:t xml:space="preserve">From Literature to Cultural Literacy</w:t>
      </w:r>
      <w:r>
        <w:t xml:space="preserve">, edited by N. Segal and D. Koleva. London: Palgrave Macmillan UK.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99f0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baab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c3404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48" Target="media/rId48.png" /><Relationship Type="http://schemas.openxmlformats.org/officeDocument/2006/relationships/image" Id="rId85" Target="media/rId85.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84" Target="media/rId8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3" Target="media/rId23.gif" /><Relationship Type="http://schemas.openxmlformats.org/officeDocument/2006/relationships/hyperlink" Id="rId22" Target="https://brooksambrose.github.io/portfolio" TargetMode="External" /><Relationship Type="http://schemas.openxmlformats.org/officeDocument/2006/relationships/hyperlink" Id="rId68" Target="https://www.jstor.org/stable/i40084238" TargetMode="External" /><Relationship Type="http://schemas.openxmlformats.org/officeDocument/2006/relationships/hyperlink" Id="rId69" Target="https://www.jstor.org/stable/i40084262" TargetMode="External" /><Relationship Type="http://schemas.openxmlformats.org/officeDocument/2006/relationships/hyperlink" Id="rId65" Target="tree.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brooksambrose.github.io/portfolio" TargetMode="External" /><Relationship Type="http://schemas.openxmlformats.org/officeDocument/2006/relationships/hyperlink" Id="rId68" Target="https://www.jstor.org/stable/i40084238" TargetMode="External" /><Relationship Type="http://schemas.openxmlformats.org/officeDocument/2006/relationships/hyperlink" Id="rId69" Target="https://www.jstor.org/stable/i40084262" TargetMode="External" /><Relationship Type="http://schemas.openxmlformats.org/officeDocument/2006/relationships/hyperlink" Id="rId65"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dcterms:created xsi:type="dcterms:W3CDTF">2019-01-18T04:45:03Z</dcterms:created>
  <dcterms:modified xsi:type="dcterms:W3CDTF">2019-01-18T04:45:03Z</dcterms:modified>
</cp:coreProperties>
</file>