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33183" w14:textId="6D4D8E09" w:rsidR="005F7E5C" w:rsidRPr="0002428D" w:rsidRDefault="000248F3" w:rsidP="005F7E5C">
      <w:pPr>
        <w:rPr>
          <w:lang w:val="fr-FR"/>
        </w:rPr>
      </w:pPr>
      <w:r w:rsidRPr="0002428D">
        <w:rPr>
          <w:noProof/>
        </w:rPr>
        <mc:AlternateContent>
          <mc:Choice Requires="wps">
            <w:drawing>
              <wp:anchor distT="0" distB="0" distL="114300" distR="114300" simplePos="0" relativeHeight="251659776" behindDoc="0" locked="0" layoutInCell="1" allowOverlap="1" wp14:anchorId="534EDD7D" wp14:editId="50E1144E">
                <wp:simplePos x="0" y="0"/>
                <wp:positionH relativeFrom="column">
                  <wp:posOffset>2811780</wp:posOffset>
                </wp:positionH>
                <wp:positionV relativeFrom="paragraph">
                  <wp:posOffset>175260</wp:posOffset>
                </wp:positionV>
                <wp:extent cx="7620" cy="3055620"/>
                <wp:effectExtent l="0" t="0" r="30480" b="30480"/>
                <wp:wrapNone/>
                <wp:docPr id="4" name="Straight Connector 4"/>
                <wp:cNvGraphicFramePr/>
                <a:graphic xmlns:a="http://schemas.openxmlformats.org/drawingml/2006/main">
                  <a:graphicData uri="http://schemas.microsoft.com/office/word/2010/wordprocessingShape">
                    <wps:wsp>
                      <wps:cNvCnPr/>
                      <wps:spPr>
                        <a:xfrm>
                          <a:off x="0" y="0"/>
                          <a:ext cx="7620" cy="3055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36BB7" id="Straight Connector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4pt,13.8pt" to="222pt,2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" strokecolor="black [3040]"/>
            </w:pict>
          </mc:Fallback>
        </mc:AlternateContent>
      </w:r>
      <w:r w:rsidR="00003979" w:rsidRPr="0002428D">
        <w:rPr>
          <w:noProof/>
        </w:rPr>
        <mc:AlternateContent>
          <mc:Choice Requires="wps">
            <w:drawing>
              <wp:anchor distT="0" distB="0" distL="114300" distR="114300" simplePos="0" relativeHeight="251656704" behindDoc="0" locked="0" layoutInCell="1" allowOverlap="1" wp14:anchorId="5B19F687" wp14:editId="0E137582">
                <wp:simplePos x="0" y="0"/>
                <wp:positionH relativeFrom="column">
                  <wp:posOffset>2820670</wp:posOffset>
                </wp:positionH>
                <wp:positionV relativeFrom="paragraph">
                  <wp:posOffset>154940</wp:posOffset>
                </wp:positionV>
                <wp:extent cx="729615" cy="1993900"/>
                <wp:effectExtent l="0" t="0" r="13335" b="635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 cy="1993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B695F98" w14:textId="305775F4" w:rsidR="006E7441" w:rsidRDefault="006E7441" w:rsidP="005F7E5C">
                            <w:r>
                              <w:br/>
                            </w:r>
                            <w:r>
                              <w:br/>
                            </w:r>
                            <w:r>
                              <w:br/>
                            </w:r>
                            <w:r>
                              <w:br/>
                            </w:r>
                            <w:r>
                              <w:br/>
                            </w:r>
                            <w:r>
                              <w:br/>
                            </w:r>
                            <w:r>
                              <w:br/>
                            </w:r>
                          </w:p>
                          <w:p w14:paraId="14853CF0" w14:textId="43AAB8D9" w:rsidR="006E7441" w:rsidRDefault="006E7441" w:rsidP="005F7E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9F687" id="_x0000_t202" coordsize="21600,21600" o:spt="202" path="m,l,21600r21600,l21600,xe">
                <v:stroke joinstyle="miter"/>
                <v:path gradientshapeok="t" o:connecttype="rect"/>
              </v:shapetype>
              <v:shape id="Text Box 16" o:spid="_x0000_s1026" type="#_x0000_t202" style="position:absolute;margin-left:222.1pt;margin-top:12.2pt;width:57.45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" filled="f" stroked="f">
                <v:textbox inset="0,0,0,0">
                  <w:txbxContent>
                    <w:p w14:paraId="7B695F98" w14:textId="305775F4" w:rsidR="006E7441" w:rsidRDefault="006E7441" w:rsidP="005F7E5C">
                      <w:r>
                        <w:br/>
                      </w:r>
                      <w:r>
                        <w:br/>
                      </w:r>
                      <w:r>
                        <w:br/>
                      </w:r>
                      <w:r>
                        <w:br/>
                      </w:r>
                      <w:r>
                        <w:br/>
                      </w:r>
                      <w:r>
                        <w:br/>
                      </w:r>
                      <w:r>
                        <w:br/>
                      </w:r>
                    </w:p>
                    <w:p w14:paraId="14853CF0" w14:textId="43AAB8D9" w:rsidR="006E7441" w:rsidRDefault="006E7441" w:rsidP="005F7E5C"/>
                  </w:txbxContent>
                </v:textbox>
              </v:shape>
            </w:pict>
          </mc:Fallback>
        </mc:AlternateContent>
      </w:r>
      <w:r w:rsidR="005F7E5C" w:rsidRPr="0002428D">
        <w:rPr>
          <w:lang w:val="fr-FR"/>
        </w:rPr>
        <w:t>_____________________________________</w:t>
      </w:r>
    </w:p>
    <w:p w14:paraId="58AF44C2" w14:textId="77777777" w:rsidR="005F7E5C" w:rsidRPr="0002428D" w:rsidRDefault="005F7E5C" w:rsidP="005F7E5C">
      <w:pPr>
        <w:rPr>
          <w:lang w:val="fr-FR"/>
        </w:rPr>
      </w:pPr>
    </w:p>
    <w:p w14:paraId="33457F03" w14:textId="32698CAA" w:rsidR="001B4EEC" w:rsidRPr="00F14AD7" w:rsidRDefault="00F14AD7" w:rsidP="00F14AD7">
      <w:pPr>
        <w:pStyle w:val="CaptionPartyType"/>
        <w:spacing w:line="360" w:lineRule="auto"/>
        <w:ind w:left="0"/>
      </w:pPr>
      <w:proofErr w:type="gramStart"/>
      <w:r w:rsidRPr="00E74F48">
        <w:t xml:space="preserve">{{ </w:t>
      </w:r>
      <w:r>
        <w:t>opposing_party.name</w:t>
      </w:r>
      <w:proofErr w:type="gramEnd"/>
      <w:r w:rsidRPr="00E74F48">
        <w:t xml:space="preserve"> }}</w:t>
      </w:r>
      <w:r>
        <w:t>,</w:t>
      </w:r>
    </w:p>
    <w:p w14:paraId="3B3E3BD0" w14:textId="11D7F20A" w:rsidR="005F7E5C" w:rsidRPr="0002428D" w:rsidRDefault="00003979" w:rsidP="005F7E5C">
      <w:pPr>
        <w:rPr>
          <w:b/>
          <w:lang w:val="fr-FR"/>
        </w:rPr>
      </w:pPr>
      <w:r w:rsidRPr="0002428D">
        <w:rPr>
          <w:b/>
          <w:noProof/>
        </w:rPr>
        <mc:AlternateContent>
          <mc:Choice Requires="wps">
            <w:drawing>
              <wp:anchor distT="0" distB="0" distL="114300" distR="114300" simplePos="0" relativeHeight="251658752" behindDoc="0" locked="0" layoutInCell="1" allowOverlap="1" wp14:anchorId="0A04011D" wp14:editId="56AB7932">
                <wp:simplePos x="0" y="0"/>
                <wp:positionH relativeFrom="column">
                  <wp:posOffset>3202940</wp:posOffset>
                </wp:positionH>
                <wp:positionV relativeFrom="paragraph">
                  <wp:posOffset>148590</wp:posOffset>
                </wp:positionV>
                <wp:extent cx="2377440" cy="617220"/>
                <wp:effectExtent l="0" t="0" r="7620" b="381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1722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C66B9" w14:textId="3FF9F792" w:rsidR="006E7441" w:rsidRPr="000248F3" w:rsidRDefault="006E7441" w:rsidP="005F7E5C">
                            <w:pPr>
                              <w:rPr>
                                <w:b/>
                                <w:smallCaps/>
                              </w:rPr>
                            </w:pPr>
                            <w:r>
                              <w:rPr>
                                <w:b/>
                                <w:smallCaps/>
                              </w:rPr>
                              <w:t xml:space="preserve">DEFENDANT’S MOTION TO </w:t>
                            </w:r>
                            <w:r w:rsidR="009F7F6F">
                              <w:rPr>
                                <w:b/>
                                <w:smallCaps/>
                              </w:rPr>
                              <w:t>DISSOLVE</w:t>
                            </w:r>
                            <w:r w:rsidR="00404060">
                              <w:rPr>
                                <w:b/>
                                <w:smallCaps/>
                              </w:rPr>
                              <w:t xml:space="preserve"> OR STAY THE ORDER ALLOWING GARNISHMENT OF </w:t>
                            </w:r>
                            <w:proofErr w:type="gramStart"/>
                            <w:r w:rsidR="003E308A">
                              <w:rPr>
                                <w:b/>
                                <w:smallCaps/>
                              </w:rPr>
                              <w:t xml:space="preserve">{{ </w:t>
                            </w:r>
                            <w:proofErr w:type="spellStart"/>
                            <w:r w:rsidR="003E308A">
                              <w:rPr>
                                <w:b/>
                                <w:smallCaps/>
                              </w:rPr>
                              <w:t>user.pronoun</w:t>
                            </w:r>
                            <w:proofErr w:type="gramEnd"/>
                            <w:r w:rsidR="003E308A">
                              <w:rPr>
                                <w:b/>
                                <w:smallCaps/>
                              </w:rPr>
                              <w:t>_possessive</w:t>
                            </w:r>
                            <w:proofErr w:type="spellEnd"/>
                            <w:r w:rsidR="003E308A">
                              <w:rPr>
                                <w:b/>
                                <w:smallCaps/>
                              </w:rPr>
                              <w:t>(WAGES) }}</w:t>
                            </w:r>
                            <w:r w:rsidR="00404060">
                              <w:rPr>
                                <w:b/>
                                <w:smallCaps/>
                              </w:rPr>
                              <w:t xml:space="preserve"> </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A04011D" id="Text Box 18" o:spid="_x0000_s1027" type="#_x0000_t202" style="position:absolute;margin-left:252.2pt;margin-top:11.7pt;width:187.2pt;height:48.6pt;z-index:2516587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" stroked="f">
                <v:textbox style="mso-fit-shape-to-text:t">
                  <w:txbxContent>
                    <w:p w14:paraId="7FCC66B9" w14:textId="3FF9F792" w:rsidR="006E7441" w:rsidRPr="000248F3" w:rsidRDefault="006E7441" w:rsidP="005F7E5C">
                      <w:pPr>
                        <w:rPr>
                          <w:b/>
                          <w:smallCaps/>
                        </w:rPr>
                      </w:pPr>
                      <w:r>
                        <w:rPr>
                          <w:b/>
                          <w:smallCaps/>
                        </w:rPr>
                        <w:t xml:space="preserve">DEFENDANT’S MOTION TO </w:t>
                      </w:r>
                      <w:r w:rsidR="009F7F6F">
                        <w:rPr>
                          <w:b/>
                          <w:smallCaps/>
                        </w:rPr>
                        <w:t>DISSOLVE</w:t>
                      </w:r>
                      <w:r w:rsidR="00404060">
                        <w:rPr>
                          <w:b/>
                          <w:smallCaps/>
                        </w:rPr>
                        <w:t xml:space="preserve"> OR STAY THE ORDER ALLOWING GARNISHMENT OF </w:t>
                      </w:r>
                      <w:proofErr w:type="gramStart"/>
                      <w:r w:rsidR="003E308A">
                        <w:rPr>
                          <w:b/>
                          <w:smallCaps/>
                        </w:rPr>
                        <w:t xml:space="preserve">{{ </w:t>
                      </w:r>
                      <w:proofErr w:type="spellStart"/>
                      <w:r w:rsidR="003E308A">
                        <w:rPr>
                          <w:b/>
                          <w:smallCaps/>
                        </w:rPr>
                        <w:t>user.pronoun</w:t>
                      </w:r>
                      <w:proofErr w:type="gramEnd"/>
                      <w:r w:rsidR="003E308A">
                        <w:rPr>
                          <w:b/>
                          <w:smallCaps/>
                        </w:rPr>
                        <w:t>_possessive</w:t>
                      </w:r>
                      <w:proofErr w:type="spellEnd"/>
                      <w:r w:rsidR="003E308A">
                        <w:rPr>
                          <w:b/>
                          <w:smallCaps/>
                        </w:rPr>
                        <w:t>(WAGES) }}</w:t>
                      </w:r>
                      <w:r w:rsidR="00404060">
                        <w:rPr>
                          <w:b/>
                          <w:smallCaps/>
                        </w:rPr>
                        <w:t xml:space="preserve"> </w:t>
                      </w:r>
                    </w:p>
                  </w:txbxContent>
                </v:textbox>
              </v:shape>
            </w:pict>
          </mc:Fallback>
        </mc:AlternateContent>
      </w:r>
      <w:r w:rsidR="00207680" w:rsidRPr="0002428D">
        <w:rPr>
          <w:b/>
          <w:lang w:val="fr-FR"/>
        </w:rPr>
        <w:tab/>
      </w:r>
      <w:r w:rsidR="00207680" w:rsidRPr="0002428D">
        <w:rPr>
          <w:smallCaps/>
          <w:lang w:val="fr-FR"/>
        </w:rPr>
        <w:t>PLAINTIFF</w:t>
      </w:r>
      <w:r w:rsidR="000248F3" w:rsidRPr="0002428D">
        <w:rPr>
          <w:smallCaps/>
          <w:lang w:val="fr-FR"/>
        </w:rPr>
        <w:t>,</w:t>
      </w:r>
    </w:p>
    <w:p w14:paraId="5D89797F" w14:textId="77777777" w:rsidR="005F7E5C" w:rsidRPr="0002428D" w:rsidRDefault="005F7E5C" w:rsidP="005F7E5C">
      <w:pPr>
        <w:rPr>
          <w:lang w:val="fr-FR"/>
        </w:rPr>
      </w:pPr>
    </w:p>
    <w:p w14:paraId="7E06DC4B" w14:textId="77777777" w:rsidR="005F7E5C" w:rsidRPr="0002428D" w:rsidRDefault="005F7E5C" w:rsidP="005F7E5C">
      <w:pPr>
        <w:rPr>
          <w:lang w:val="fr-FR"/>
        </w:rPr>
      </w:pPr>
      <w:r w:rsidRPr="0002428D">
        <w:rPr>
          <w:lang w:val="fr-FR"/>
        </w:rPr>
        <w:t>v.</w:t>
      </w:r>
    </w:p>
    <w:p w14:paraId="683E1D4F" w14:textId="77777777" w:rsidR="005F7E5C" w:rsidRPr="0002428D" w:rsidRDefault="005F7E5C" w:rsidP="005F7E5C">
      <w:pPr>
        <w:rPr>
          <w:lang w:val="fr-FR"/>
        </w:rPr>
      </w:pPr>
    </w:p>
    <w:p w14:paraId="1A8EF56F" w14:textId="77777777" w:rsidR="00F14AD7" w:rsidRPr="002163F5" w:rsidRDefault="00F14AD7" w:rsidP="00F14AD7">
      <w:pPr>
        <w:pStyle w:val="CaptionPartyType"/>
        <w:spacing w:line="360" w:lineRule="auto"/>
        <w:ind w:left="0"/>
        <w:rPr>
          <w:lang w:val="fr-FR"/>
        </w:rPr>
      </w:pPr>
      <w:r w:rsidRPr="002163F5">
        <w:rPr>
          <w:lang w:val="fr-FR"/>
        </w:rPr>
        <w:t>{{</w:t>
      </w:r>
      <w:proofErr w:type="spellStart"/>
      <w:proofErr w:type="gramStart"/>
      <w:r>
        <w:rPr>
          <w:lang w:val="fr-FR"/>
        </w:rPr>
        <w:t>user</w:t>
      </w:r>
      <w:r w:rsidRPr="002163F5">
        <w:rPr>
          <w:lang w:val="fr-FR"/>
        </w:rPr>
        <w:t>.name.</w:t>
      </w:r>
      <w:r>
        <w:rPr>
          <w:lang w:val="fr-FR"/>
        </w:rPr>
        <w:t>full</w:t>
      </w:r>
      <w:proofErr w:type="spellEnd"/>
      <w:proofErr w:type="gramEnd"/>
      <w:r>
        <w:rPr>
          <w:lang w:val="fr-FR"/>
        </w:rPr>
        <w:t>()</w:t>
      </w:r>
      <w:r w:rsidRPr="002163F5">
        <w:rPr>
          <w:lang w:val="fr-FR"/>
        </w:rPr>
        <w:t xml:space="preserve"> }}</w:t>
      </w:r>
      <w:r>
        <w:rPr>
          <w:lang w:val="fr-FR"/>
        </w:rPr>
        <w:t>,</w:t>
      </w:r>
    </w:p>
    <w:p w14:paraId="767DDCBF" w14:textId="4DA14B19" w:rsidR="005F7E5C" w:rsidRPr="0002428D" w:rsidRDefault="00207680" w:rsidP="000248F3">
      <w:pPr>
        <w:ind w:firstLine="720"/>
        <w:rPr>
          <w:b/>
        </w:rPr>
      </w:pPr>
      <w:r>
        <w:t>DEFENDANT</w:t>
      </w:r>
      <w:r w:rsidR="00F14AD7">
        <w:t>,</w:t>
      </w:r>
    </w:p>
    <w:p w14:paraId="6366A112" w14:textId="20AA516E" w:rsidR="4BD824A5" w:rsidRDefault="4BD824A5" w:rsidP="4BD824A5">
      <w:pPr>
        <w:ind w:firstLine="720"/>
      </w:pPr>
    </w:p>
    <w:p w14:paraId="5A17264B" w14:textId="232F20E5" w:rsidR="47FBF8A6" w:rsidRDefault="47FBF8A6" w:rsidP="4BD824A5">
      <w:pPr>
        <w:ind w:firstLine="720"/>
      </w:pPr>
      <w:r>
        <w:t>And</w:t>
      </w:r>
    </w:p>
    <w:p w14:paraId="7FC5D9A8" w14:textId="560F8E12" w:rsidR="4BD824A5" w:rsidRDefault="4BD824A5" w:rsidP="4BD824A5">
      <w:pPr>
        <w:ind w:firstLine="720"/>
      </w:pPr>
    </w:p>
    <w:p w14:paraId="1993585D" w14:textId="5A4EBA3F" w:rsidR="47FBF8A6" w:rsidRDefault="00F14AD7" w:rsidP="4BD824A5">
      <w:bookmarkStart w:id="0" w:name="_Hlk39747276"/>
      <w:proofErr w:type="gramStart"/>
      <w:r>
        <w:t>{{ trustee.name</w:t>
      </w:r>
      <w:proofErr w:type="gramEnd"/>
      <w:r>
        <w:t xml:space="preserve"> }}</w:t>
      </w:r>
    </w:p>
    <w:bookmarkEnd w:id="0"/>
    <w:p w14:paraId="3C7372B0" w14:textId="3AE282B3" w:rsidR="47FBF8A6" w:rsidRDefault="47FBF8A6" w:rsidP="4BD824A5">
      <w:pPr>
        <w:ind w:firstLine="720"/>
      </w:pPr>
      <w:r>
        <w:t>TRUSTEE</w:t>
      </w:r>
    </w:p>
    <w:p w14:paraId="558A8BE3" w14:textId="77777777" w:rsidR="005F7E5C" w:rsidRPr="0002428D" w:rsidRDefault="005F7E5C" w:rsidP="005F7E5C"/>
    <w:p w14:paraId="1C8DBF2D" w14:textId="78874D95" w:rsidR="002700FD" w:rsidRPr="0002428D" w:rsidRDefault="005F7E5C" w:rsidP="008E47EC">
      <w:r w:rsidRPr="0002428D">
        <w:t>_____________________________________</w:t>
      </w:r>
    </w:p>
    <w:p w14:paraId="79B85100" w14:textId="77777777" w:rsidR="008E47EC" w:rsidRPr="0002428D" w:rsidRDefault="008E47EC" w:rsidP="008E47EC"/>
    <w:p w14:paraId="7F4A1567" w14:textId="46E9C5BC" w:rsidR="00460CE0" w:rsidRPr="0002428D" w:rsidRDefault="008E47EC" w:rsidP="4BD824A5">
      <w:pPr>
        <w:spacing w:line="480" w:lineRule="exact"/>
        <w:ind w:firstLine="720"/>
      </w:pPr>
      <w:r>
        <w:t xml:space="preserve">Defendant </w:t>
      </w:r>
      <w:r w:rsidR="00F14AD7" w:rsidRPr="002163F5">
        <w:rPr>
          <w:lang w:val="fr-FR"/>
        </w:rPr>
        <w:t>{{</w:t>
      </w:r>
      <w:proofErr w:type="spellStart"/>
      <w:proofErr w:type="gramStart"/>
      <w:r w:rsidR="00F14AD7" w:rsidRPr="002163F5">
        <w:rPr>
          <w:lang w:val="fr-FR"/>
        </w:rPr>
        <w:t>client.name.</w:t>
      </w:r>
      <w:r w:rsidR="00F14AD7">
        <w:rPr>
          <w:lang w:val="fr-FR"/>
        </w:rPr>
        <w:t>full</w:t>
      </w:r>
      <w:proofErr w:type="spellEnd"/>
      <w:proofErr w:type="gramEnd"/>
      <w:r w:rsidR="00F14AD7">
        <w:rPr>
          <w:lang w:val="fr-FR"/>
        </w:rPr>
        <w:t>()</w:t>
      </w:r>
      <w:r w:rsidR="00F14AD7" w:rsidRPr="002163F5">
        <w:rPr>
          <w:lang w:val="fr-FR"/>
        </w:rPr>
        <w:t xml:space="preserve"> }}</w:t>
      </w:r>
      <w:r w:rsidR="00F14AD7">
        <w:t xml:space="preserve"> </w:t>
      </w:r>
      <w:r w:rsidR="00404060">
        <w:t xml:space="preserve">(“Defendant”) </w:t>
      </w:r>
      <w:r>
        <w:t>moves this Honorable Court</w:t>
      </w:r>
      <w:r w:rsidR="006C5EAA">
        <w:t xml:space="preserve"> </w:t>
      </w:r>
      <w:r w:rsidR="00251895">
        <w:t xml:space="preserve">to </w:t>
      </w:r>
      <w:r w:rsidR="00770444">
        <w:t>vacate</w:t>
      </w:r>
      <w:r w:rsidR="00404060">
        <w:t xml:space="preserve"> or, in the alternative, </w:t>
      </w:r>
      <w:r w:rsidR="00770444">
        <w:t xml:space="preserve"> </w:t>
      </w:r>
      <w:r w:rsidR="00404060">
        <w:t xml:space="preserve">stay the </w:t>
      </w:r>
      <w:r w:rsidR="001B4EEC">
        <w:t xml:space="preserve"> </w:t>
      </w:r>
      <w:r w:rsidR="00F14AD7">
        <w:t xml:space="preserve">{{ </w:t>
      </w:r>
      <w:proofErr w:type="spellStart"/>
      <w:r w:rsidR="00F14AD7">
        <w:t>judgment_entry_date</w:t>
      </w:r>
      <w:proofErr w:type="spellEnd"/>
      <w:r w:rsidR="00F14AD7">
        <w:t xml:space="preserve"> }}</w:t>
      </w:r>
      <w:r w:rsidR="00F14AD7">
        <w:t xml:space="preserve"> </w:t>
      </w:r>
      <w:r w:rsidR="00404060">
        <w:t xml:space="preserve">order allowing garnishment </w:t>
      </w:r>
      <w:r w:rsidR="00404060" w:rsidRPr="00F14AD7">
        <w:t xml:space="preserve">of </w:t>
      </w:r>
      <w:r w:rsidR="00F14AD7" w:rsidRPr="00F14AD7">
        <w:t xml:space="preserve">{{ </w:t>
      </w:r>
      <w:proofErr w:type="spellStart"/>
      <w:r w:rsidR="00F14AD7" w:rsidRPr="00F14AD7">
        <w:t>user.pronoun_possessive</w:t>
      </w:r>
      <w:proofErr w:type="spellEnd"/>
      <w:r w:rsidR="00F14AD7" w:rsidRPr="00F14AD7">
        <w:t>(wages) }}</w:t>
      </w:r>
      <w:r w:rsidR="006C5EAA" w:rsidRPr="00F14AD7">
        <w:t>.</w:t>
      </w:r>
      <w:r w:rsidR="08B80F6C" w:rsidRPr="4BD824A5">
        <w:rPr>
          <w:color w:val="000000" w:themeColor="text1"/>
        </w:rPr>
        <w:t xml:space="preserve"> The COVID-19 pandemic has created extraordinary circumstances during which all Massachusetts residents, including Defendant need access to all their income for essential items like food, medicine, housing, and transportation.  Moreover, even if we were not </w:t>
      </w:r>
      <w:proofErr w:type="gramStart"/>
      <w:r w:rsidR="08B80F6C" w:rsidRPr="4BD824A5">
        <w:rPr>
          <w:color w:val="000000" w:themeColor="text1"/>
        </w:rPr>
        <w:t>in the midst of</w:t>
      </w:r>
      <w:proofErr w:type="gramEnd"/>
      <w:r w:rsidR="08B80F6C" w:rsidRPr="4BD824A5">
        <w:rPr>
          <w:color w:val="000000" w:themeColor="text1"/>
        </w:rPr>
        <w:t xml:space="preserve"> a global pandemic, the order should be vacated because Defendant,</w:t>
      </w:r>
      <w:r w:rsidR="00B0462A">
        <w:rPr>
          <w:color w:val="000000" w:themeColor="text1"/>
        </w:rPr>
        <w:t xml:space="preserve"> {%p if “lack of notice” in defense</w:t>
      </w:r>
      <w:r w:rsidR="000A5ECC">
        <w:rPr>
          <w:color w:val="000000" w:themeColor="text1"/>
        </w:rPr>
        <w:t>s</w:t>
      </w:r>
      <w:r w:rsidR="00B0462A">
        <w:rPr>
          <w:color w:val="000000" w:themeColor="text1"/>
        </w:rPr>
        <w:t xml:space="preserve"> %}.</w:t>
      </w:r>
      <w:r w:rsidR="08B80F6C" w:rsidRPr="4BD824A5">
        <w:rPr>
          <w:color w:val="000000" w:themeColor="text1"/>
        </w:rPr>
        <w:t xml:space="preserve"> </w:t>
      </w:r>
      <w:r w:rsidR="08B80F6C" w:rsidRPr="000A5ECC">
        <w:rPr>
          <w:color w:val="000000" w:themeColor="text1"/>
        </w:rPr>
        <w:t xml:space="preserve">who did not have notice of the original hearing on the </w:t>
      </w:r>
      <w:proofErr w:type="gramStart"/>
      <w:r w:rsidR="08B80F6C" w:rsidRPr="000A5ECC">
        <w:rPr>
          <w:color w:val="000000" w:themeColor="text1"/>
        </w:rPr>
        <w:t>garnishment</w:t>
      </w:r>
      <w:r w:rsidR="08B80F6C" w:rsidRPr="4BD824A5">
        <w:rPr>
          <w:color w:val="000000" w:themeColor="text1"/>
        </w:rPr>
        <w:t>,</w:t>
      </w:r>
      <w:r w:rsidR="00B0462A">
        <w:rPr>
          <w:color w:val="000000" w:themeColor="text1"/>
        </w:rPr>
        <w:t>{</w:t>
      </w:r>
      <w:proofErr w:type="gramEnd"/>
      <w:r w:rsidR="00B0462A">
        <w:rPr>
          <w:color w:val="000000" w:themeColor="text1"/>
        </w:rPr>
        <w:t>%p endif %}</w:t>
      </w:r>
      <w:r w:rsidR="08B80F6C" w:rsidRPr="4BD824A5">
        <w:rPr>
          <w:color w:val="000000" w:themeColor="text1"/>
        </w:rPr>
        <w:t xml:space="preserve"> has </w:t>
      </w:r>
      <w:r w:rsidR="00B0462A">
        <w:rPr>
          <w:color w:val="000000" w:themeColor="text1"/>
        </w:rPr>
        <w:t xml:space="preserve">{{ </w:t>
      </w:r>
      <w:r w:rsidR="001857F3">
        <w:rPr>
          <w:color w:val="000000" w:themeColor="text1"/>
        </w:rPr>
        <w:t>length</w:t>
      </w:r>
      <w:r w:rsidR="00B0462A">
        <w:rPr>
          <w:color w:val="000000" w:themeColor="text1"/>
        </w:rPr>
        <w:t>(defenses) }}v</w:t>
      </w:r>
      <w:r w:rsidR="08B80F6C" w:rsidRPr="4BD824A5">
        <w:rPr>
          <w:color w:val="000000" w:themeColor="text1"/>
        </w:rPr>
        <w:t>alid defenses</w:t>
      </w:r>
      <w:r w:rsidR="000A5ECC">
        <w:rPr>
          <w:color w:val="000000" w:themeColor="text1"/>
        </w:rPr>
        <w:t>—</w:t>
      </w:r>
      <w:r w:rsidR="00B0462A">
        <w:rPr>
          <w:color w:val="000000" w:themeColor="text1"/>
        </w:rPr>
        <w:t xml:space="preserve">{{ </w:t>
      </w:r>
      <w:proofErr w:type="spellStart"/>
      <w:r w:rsidR="000A5ECC">
        <w:rPr>
          <w:color w:val="000000" w:themeColor="text1"/>
        </w:rPr>
        <w:t>comma_and_list</w:t>
      </w:r>
      <w:proofErr w:type="spellEnd"/>
      <w:r w:rsidR="000A5ECC">
        <w:rPr>
          <w:color w:val="000000" w:themeColor="text1"/>
        </w:rPr>
        <w:t>(</w:t>
      </w:r>
      <w:r w:rsidR="00B0462A">
        <w:rPr>
          <w:color w:val="000000" w:themeColor="text1"/>
        </w:rPr>
        <w:t>defense</w:t>
      </w:r>
      <w:r w:rsidR="000A5ECC">
        <w:rPr>
          <w:color w:val="000000" w:themeColor="text1"/>
        </w:rPr>
        <w:t>s)</w:t>
      </w:r>
      <w:r w:rsidR="00B0462A">
        <w:rPr>
          <w:color w:val="000000" w:themeColor="text1"/>
        </w:rPr>
        <w:t xml:space="preserve"> }}</w:t>
      </w:r>
      <w:r w:rsidR="4BE51603" w:rsidRPr="4BD824A5">
        <w:rPr>
          <w:color w:val="000000" w:themeColor="text1"/>
        </w:rPr>
        <w:t xml:space="preserve">. </w:t>
      </w:r>
      <w:r w:rsidR="00460CE0" w:rsidRPr="4BD824A5">
        <w:rPr>
          <w:color w:val="000000" w:themeColor="text1"/>
        </w:rPr>
        <w:t xml:space="preserve"> </w:t>
      </w:r>
      <w:r w:rsidR="1EB213E1" w:rsidRPr="4BD824A5">
        <w:rPr>
          <w:color w:val="000000" w:themeColor="text1"/>
        </w:rPr>
        <w:t xml:space="preserve">Because of the exigent circumstances of the pandemic, the Defendant requests that the Court either vacate or stay the garnishment order without holding a hearing on this motion.  In the alternative, if the Court requires a hearing, the Defendant requests that the Court hold a phone or videoconference hearing as soon as possible consistent with </w:t>
      </w:r>
      <w:r w:rsidR="1EB213E1" w:rsidRPr="4BD824A5">
        <w:rPr>
          <w:color w:val="000000" w:themeColor="text1"/>
        </w:rPr>
        <w:lastRenderedPageBreak/>
        <w:t>Boston Municipal Court Standing Court Order 4-20, which permits consideration of non-emergency matters.</w:t>
      </w:r>
    </w:p>
    <w:p w14:paraId="6DD360C6" w14:textId="63A5D71B" w:rsidR="00460CE0" w:rsidRPr="0002428D" w:rsidRDefault="00460CE0" w:rsidP="4BD824A5">
      <w:pPr>
        <w:spacing w:line="480" w:lineRule="auto"/>
        <w:ind w:firstLine="720"/>
      </w:pPr>
      <w:r>
        <w:t>In support of this Motion, the Defendant states:</w:t>
      </w:r>
    </w:p>
    <w:p w14:paraId="2940C0B3" w14:textId="4FB8BD39" w:rsidR="00404060" w:rsidRPr="0002428D" w:rsidRDefault="00404060" w:rsidP="0002428D">
      <w:pPr>
        <w:pStyle w:val="Body"/>
        <w:numPr>
          <w:ilvl w:val="0"/>
          <w:numId w:val="26"/>
        </w:numPr>
        <w:spacing w:line="480" w:lineRule="auto"/>
        <w:jc w:val="both"/>
        <w:rPr>
          <w:rFonts w:ascii="Times New Roman" w:eastAsia="Times New Roman" w:hAnsi="Times New Roman" w:cs="Times New Roman"/>
          <w:sz w:val="24"/>
          <w:szCs w:val="24"/>
        </w:rPr>
      </w:pPr>
      <w:r w:rsidRPr="4BD824A5">
        <w:rPr>
          <w:rFonts w:ascii="Times New Roman" w:hAnsi="Times New Roman" w:cs="Times New Roman"/>
          <w:sz w:val="24"/>
          <w:szCs w:val="24"/>
        </w:rPr>
        <w:t xml:space="preserve">On or about </w:t>
      </w:r>
      <w:proofErr w:type="gramStart"/>
      <w:r w:rsidR="000A5ECC" w:rsidRPr="000A5ECC">
        <w:rPr>
          <w:rFonts w:ascii="Times New Roman" w:hAnsi="Times New Roman" w:cs="Times New Roman"/>
          <w:sz w:val="24"/>
          <w:szCs w:val="24"/>
        </w:rPr>
        <w:t xml:space="preserve">{{ </w:t>
      </w:r>
      <w:proofErr w:type="spellStart"/>
      <w:r w:rsidR="000A5ECC" w:rsidRPr="000A5ECC">
        <w:rPr>
          <w:rFonts w:ascii="Times New Roman" w:hAnsi="Times New Roman" w:cs="Times New Roman"/>
          <w:sz w:val="24"/>
          <w:szCs w:val="24"/>
        </w:rPr>
        <w:t>judgment</w:t>
      </w:r>
      <w:proofErr w:type="gramEnd"/>
      <w:r w:rsidR="000A5ECC" w:rsidRPr="000A5ECC">
        <w:rPr>
          <w:rFonts w:ascii="Times New Roman" w:hAnsi="Times New Roman" w:cs="Times New Roman"/>
          <w:sz w:val="24"/>
          <w:szCs w:val="24"/>
        </w:rPr>
        <w:t>_entry_date</w:t>
      </w:r>
      <w:proofErr w:type="spellEnd"/>
      <w:r w:rsidR="000A5ECC" w:rsidRPr="000A5ECC">
        <w:rPr>
          <w:rFonts w:ascii="Times New Roman" w:hAnsi="Times New Roman" w:cs="Times New Roman"/>
          <w:sz w:val="24"/>
          <w:szCs w:val="24"/>
        </w:rPr>
        <w:t xml:space="preserve"> }}</w:t>
      </w:r>
      <w:r w:rsidRPr="4BD824A5">
        <w:rPr>
          <w:rFonts w:ascii="Times New Roman" w:hAnsi="Times New Roman" w:cs="Times New Roman"/>
          <w:sz w:val="24"/>
          <w:szCs w:val="24"/>
        </w:rPr>
        <w:t xml:space="preserve">, Plaintiff </w:t>
      </w:r>
      <w:r w:rsidR="000A5ECC">
        <w:rPr>
          <w:rFonts w:ascii="Times New Roman" w:hAnsi="Times New Roman" w:cs="Times New Roman"/>
          <w:sz w:val="24"/>
          <w:szCs w:val="24"/>
        </w:rPr>
        <w:t>{{ opposing_party.name }}</w:t>
      </w:r>
      <w:r w:rsidRPr="4BD824A5">
        <w:rPr>
          <w:rFonts w:ascii="Times New Roman" w:hAnsi="Times New Roman" w:cs="Times New Roman"/>
          <w:sz w:val="24"/>
          <w:szCs w:val="24"/>
        </w:rPr>
        <w:t xml:space="preserve"> (“Plaintiff”) commenced this trustee process action against Defendant and </w:t>
      </w:r>
      <w:r w:rsidR="000A5ECC">
        <w:rPr>
          <w:rFonts w:ascii="Times New Roman" w:hAnsi="Times New Roman" w:cs="Times New Roman"/>
          <w:sz w:val="24"/>
          <w:szCs w:val="24"/>
        </w:rPr>
        <w:t xml:space="preserve">{{ </w:t>
      </w:r>
      <w:proofErr w:type="spellStart"/>
      <w:r w:rsidR="000A5ECC" w:rsidRPr="000A5ECC">
        <w:rPr>
          <w:rFonts w:ascii="Times New Roman" w:hAnsi="Times New Roman" w:cs="Times New Roman"/>
          <w:sz w:val="24"/>
          <w:szCs w:val="24"/>
        </w:rPr>
        <w:t>user.pronoun_possessive</w:t>
      </w:r>
      <w:proofErr w:type="spellEnd"/>
      <w:r w:rsidR="000A5ECC" w:rsidRPr="000A5ECC">
        <w:rPr>
          <w:rFonts w:ascii="Times New Roman" w:hAnsi="Times New Roman" w:cs="Times New Roman"/>
          <w:sz w:val="24"/>
          <w:szCs w:val="24"/>
        </w:rPr>
        <w:t>(wages)</w:t>
      </w:r>
      <w:r w:rsidR="000A5ECC" w:rsidRPr="000A5ECC">
        <w:rPr>
          <w:rFonts w:ascii="Times New Roman" w:hAnsi="Times New Roman" w:cs="Times New Roman"/>
          <w:sz w:val="24"/>
          <w:szCs w:val="24"/>
        </w:rPr>
        <w:t xml:space="preserve"> }}</w:t>
      </w:r>
      <w:r w:rsidR="000A5ECC" w:rsidRPr="000A5ECC">
        <w:rPr>
          <w:rFonts w:ascii="Times New Roman" w:hAnsi="Times New Roman" w:cs="Times New Roman"/>
          <w:sz w:val="24"/>
          <w:szCs w:val="24"/>
        </w:rPr>
        <w:t xml:space="preserve"> </w:t>
      </w:r>
      <w:r w:rsidRPr="4BD824A5">
        <w:rPr>
          <w:rFonts w:ascii="Times New Roman" w:hAnsi="Times New Roman" w:cs="Times New Roman"/>
          <w:sz w:val="24"/>
          <w:szCs w:val="24"/>
        </w:rPr>
        <w:t xml:space="preserve">employer </w:t>
      </w:r>
      <w:r w:rsidR="000A5ECC" w:rsidRPr="000A5ECC">
        <w:rPr>
          <w:rFonts w:ascii="Times New Roman" w:hAnsi="Times New Roman" w:cs="Times New Roman"/>
          <w:sz w:val="24"/>
          <w:szCs w:val="24"/>
        </w:rPr>
        <w:t>{{ trustee.name }}</w:t>
      </w:r>
      <w:r w:rsidRPr="4BD824A5">
        <w:rPr>
          <w:rFonts w:ascii="Times New Roman" w:hAnsi="Times New Roman" w:cs="Times New Roman"/>
          <w:sz w:val="24"/>
          <w:szCs w:val="24"/>
        </w:rPr>
        <w:t xml:space="preserve">.  The suit sought to collect </w:t>
      </w:r>
      <w:proofErr w:type="gramStart"/>
      <w:r w:rsidR="00090E97">
        <w:rPr>
          <w:rFonts w:ascii="Times New Roman" w:hAnsi="Times New Roman" w:cs="Times New Roman"/>
          <w:sz w:val="24"/>
          <w:szCs w:val="24"/>
        </w:rPr>
        <w:t>{{ currency</w:t>
      </w:r>
      <w:proofErr w:type="gramEnd"/>
      <w:r w:rsidR="00090E97">
        <w:rPr>
          <w:rFonts w:ascii="Times New Roman" w:hAnsi="Times New Roman" w:cs="Times New Roman"/>
          <w:sz w:val="24"/>
          <w:szCs w:val="24"/>
        </w:rPr>
        <w:t>(</w:t>
      </w:r>
      <w:proofErr w:type="spellStart"/>
      <w:r w:rsidR="00090E97">
        <w:rPr>
          <w:rFonts w:ascii="Times New Roman" w:hAnsi="Times New Roman" w:cs="Times New Roman"/>
          <w:sz w:val="24"/>
          <w:szCs w:val="24"/>
        </w:rPr>
        <w:t>original_judgment.amount</w:t>
      </w:r>
      <w:proofErr w:type="spellEnd"/>
      <w:r w:rsidR="00090E97">
        <w:rPr>
          <w:rFonts w:ascii="Times New Roman" w:hAnsi="Times New Roman" w:cs="Times New Roman"/>
          <w:sz w:val="24"/>
          <w:szCs w:val="24"/>
        </w:rPr>
        <w:t xml:space="preserve"> )}} </w:t>
      </w:r>
      <w:r w:rsidRPr="4BD824A5">
        <w:rPr>
          <w:rFonts w:ascii="Times New Roman" w:hAnsi="Times New Roman" w:cs="Times New Roman"/>
          <w:sz w:val="24"/>
          <w:szCs w:val="24"/>
        </w:rPr>
        <w:t xml:space="preserve">based on a judgment (the “Judgment”) entered against Defendant in </w:t>
      </w:r>
      <w:r w:rsidR="00090E97">
        <w:rPr>
          <w:rFonts w:ascii="Times New Roman" w:hAnsi="Times New Roman" w:cs="Times New Roman"/>
          <w:sz w:val="24"/>
          <w:szCs w:val="24"/>
        </w:rPr>
        <w:t xml:space="preserve">{{ </w:t>
      </w:r>
      <w:proofErr w:type="spellStart"/>
      <w:r w:rsidR="00090E97">
        <w:rPr>
          <w:rFonts w:ascii="Times New Roman" w:hAnsi="Times New Roman" w:cs="Times New Roman"/>
          <w:sz w:val="24"/>
          <w:szCs w:val="24"/>
        </w:rPr>
        <w:t>original_judgment.</w:t>
      </w:r>
      <w:r w:rsidR="00090E97">
        <w:rPr>
          <w:rFonts w:ascii="Times New Roman" w:hAnsi="Times New Roman" w:cs="Times New Roman"/>
          <w:sz w:val="24"/>
          <w:szCs w:val="24"/>
        </w:rPr>
        <w:t>court</w:t>
      </w:r>
      <w:proofErr w:type="spellEnd"/>
      <w:r w:rsidR="00090E97">
        <w:rPr>
          <w:rFonts w:ascii="Times New Roman" w:hAnsi="Times New Roman" w:cs="Times New Roman"/>
          <w:sz w:val="24"/>
          <w:szCs w:val="24"/>
        </w:rPr>
        <w:t xml:space="preserve"> }}</w:t>
      </w:r>
      <w:r w:rsidRPr="4BD824A5">
        <w:rPr>
          <w:rFonts w:ascii="Times New Roman" w:hAnsi="Times New Roman" w:cs="Times New Roman"/>
          <w:sz w:val="24"/>
          <w:szCs w:val="24"/>
        </w:rPr>
        <w:t xml:space="preserve"> Court on</w:t>
      </w:r>
      <w:r w:rsidR="00090E97">
        <w:rPr>
          <w:rFonts w:ascii="Times New Roman" w:hAnsi="Times New Roman" w:cs="Times New Roman"/>
          <w:sz w:val="24"/>
          <w:szCs w:val="24"/>
        </w:rPr>
        <w:t xml:space="preserve"> {{ </w:t>
      </w:r>
      <w:proofErr w:type="spellStart"/>
      <w:r w:rsidR="00090E97">
        <w:rPr>
          <w:rFonts w:ascii="Times New Roman" w:hAnsi="Times New Roman" w:cs="Times New Roman"/>
          <w:sz w:val="24"/>
          <w:szCs w:val="24"/>
        </w:rPr>
        <w:t>original_judgment.date</w:t>
      </w:r>
      <w:proofErr w:type="spellEnd"/>
      <w:r w:rsidR="00090E97">
        <w:rPr>
          <w:rFonts w:ascii="Times New Roman" w:hAnsi="Times New Roman" w:cs="Times New Roman"/>
          <w:sz w:val="24"/>
          <w:szCs w:val="24"/>
        </w:rPr>
        <w:t xml:space="preserve"> }}.</w:t>
      </w:r>
    </w:p>
    <w:p w14:paraId="58FCB525" w14:textId="49945DE2" w:rsidR="00404060" w:rsidRPr="003F0DB7" w:rsidRDefault="0002428D" w:rsidP="00AB3517">
      <w:pPr>
        <w:pStyle w:val="Body"/>
        <w:numPr>
          <w:ilvl w:val="0"/>
          <w:numId w:val="26"/>
        </w:numPr>
        <w:spacing w:line="480" w:lineRule="auto"/>
        <w:jc w:val="both"/>
        <w:rPr>
          <w:rFonts w:ascii="Times New Roman" w:eastAsia="Times New Roman" w:hAnsi="Times New Roman" w:cs="Times New Roman"/>
          <w:sz w:val="24"/>
          <w:szCs w:val="24"/>
        </w:rPr>
      </w:pPr>
      <w:r w:rsidRPr="0002428D">
        <w:rPr>
          <w:rFonts w:ascii="Times New Roman" w:hAnsi="Times New Roman" w:cs="Times New Roman"/>
          <w:sz w:val="24"/>
          <w:szCs w:val="24"/>
        </w:rPr>
        <w:t xml:space="preserve">On </w:t>
      </w:r>
      <w:proofErr w:type="gramStart"/>
      <w:r w:rsidR="00090E97">
        <w:rPr>
          <w:rFonts w:ascii="Times New Roman" w:hAnsi="Times New Roman" w:cs="Times New Roman"/>
          <w:sz w:val="24"/>
          <w:szCs w:val="24"/>
        </w:rPr>
        <w:t xml:space="preserve">{{ </w:t>
      </w:r>
      <w:proofErr w:type="spellStart"/>
      <w:r w:rsidR="00090E97">
        <w:rPr>
          <w:rFonts w:ascii="Times New Roman" w:hAnsi="Times New Roman" w:cs="Times New Roman"/>
          <w:sz w:val="24"/>
          <w:szCs w:val="24"/>
        </w:rPr>
        <w:t>trustee</w:t>
      </w:r>
      <w:proofErr w:type="gramEnd"/>
      <w:r w:rsidR="00090E97">
        <w:rPr>
          <w:rFonts w:ascii="Times New Roman" w:hAnsi="Times New Roman" w:cs="Times New Roman"/>
          <w:sz w:val="24"/>
          <w:szCs w:val="24"/>
        </w:rPr>
        <w:t>_process_motion.grant_date</w:t>
      </w:r>
      <w:proofErr w:type="spellEnd"/>
      <w:r w:rsidR="00090E97">
        <w:rPr>
          <w:rFonts w:ascii="Times New Roman" w:hAnsi="Times New Roman" w:cs="Times New Roman"/>
          <w:sz w:val="24"/>
          <w:szCs w:val="24"/>
        </w:rPr>
        <w:t xml:space="preserve"> }}</w:t>
      </w:r>
      <w:r w:rsidRPr="0002428D">
        <w:rPr>
          <w:rFonts w:ascii="Times New Roman" w:hAnsi="Times New Roman" w:cs="Times New Roman"/>
          <w:sz w:val="24"/>
          <w:szCs w:val="24"/>
        </w:rPr>
        <w:t>, the Court granted Plaintiff’s</w:t>
      </w:r>
      <w:r w:rsidR="00090E97">
        <w:rPr>
          <w:rFonts w:ascii="Times New Roman" w:hAnsi="Times New Roman" w:cs="Times New Roman"/>
          <w:sz w:val="24"/>
          <w:szCs w:val="24"/>
        </w:rPr>
        <w:t xml:space="preserve"> {%p if </w:t>
      </w:r>
      <w:r w:rsidR="00835A9C">
        <w:rPr>
          <w:rFonts w:ascii="Times New Roman" w:hAnsi="Times New Roman" w:cs="Times New Roman"/>
          <w:sz w:val="24"/>
          <w:szCs w:val="24"/>
        </w:rPr>
        <w:t xml:space="preserve">not </w:t>
      </w:r>
      <w:proofErr w:type="spellStart"/>
      <w:r w:rsidR="00090E97">
        <w:rPr>
          <w:rFonts w:ascii="Times New Roman" w:hAnsi="Times New Roman" w:cs="Times New Roman"/>
          <w:sz w:val="24"/>
          <w:szCs w:val="24"/>
        </w:rPr>
        <w:t>trustee_process_motion.opposed</w:t>
      </w:r>
      <w:proofErr w:type="spellEnd"/>
      <w:r w:rsidR="00090E97">
        <w:rPr>
          <w:rFonts w:ascii="Times New Roman" w:hAnsi="Times New Roman" w:cs="Times New Roman"/>
          <w:sz w:val="24"/>
          <w:szCs w:val="24"/>
        </w:rPr>
        <w:t xml:space="preserve"> </w:t>
      </w:r>
      <w:r w:rsidR="00090E97" w:rsidRPr="003364AF">
        <w:rPr>
          <w:rFonts w:ascii="Times New Roman" w:hAnsi="Times New Roman" w:cs="Times New Roman"/>
          <w:sz w:val="24"/>
          <w:szCs w:val="24"/>
        </w:rPr>
        <w:t xml:space="preserve">%} </w:t>
      </w:r>
      <w:r w:rsidRPr="003364AF">
        <w:rPr>
          <w:rFonts w:ascii="Times New Roman" w:hAnsi="Times New Roman" w:cs="Times New Roman"/>
          <w:sz w:val="24"/>
          <w:szCs w:val="24"/>
        </w:rPr>
        <w:t xml:space="preserve"> unopposed </w:t>
      </w:r>
      <w:r w:rsidR="00090E97" w:rsidRPr="003364AF">
        <w:rPr>
          <w:rFonts w:ascii="Times New Roman" w:hAnsi="Times New Roman" w:cs="Times New Roman"/>
          <w:sz w:val="24"/>
          <w:szCs w:val="24"/>
        </w:rPr>
        <w:t xml:space="preserve">{%p endif %} </w:t>
      </w:r>
      <w:r w:rsidRPr="003364AF">
        <w:rPr>
          <w:rFonts w:ascii="Times New Roman" w:hAnsi="Times New Roman" w:cs="Times New Roman"/>
          <w:sz w:val="24"/>
          <w:szCs w:val="24"/>
        </w:rPr>
        <w:t>motion for attachment by trustee process.</w:t>
      </w:r>
      <w:r w:rsidR="00090E97" w:rsidRPr="003364AF">
        <w:rPr>
          <w:rFonts w:ascii="Times New Roman" w:hAnsi="Times New Roman" w:cs="Times New Roman"/>
          <w:sz w:val="24"/>
          <w:szCs w:val="24"/>
        </w:rPr>
        <w:t xml:space="preserve"> </w:t>
      </w:r>
      <w:r w:rsidRPr="003364AF">
        <w:rPr>
          <w:rFonts w:ascii="Times New Roman" w:hAnsi="Times New Roman" w:cs="Times New Roman"/>
          <w:sz w:val="24"/>
          <w:szCs w:val="24"/>
        </w:rPr>
        <w:t xml:space="preserve">The court </w:t>
      </w:r>
      <w:r w:rsidR="00090E97" w:rsidRPr="003364AF">
        <w:rPr>
          <w:rFonts w:ascii="Times New Roman" w:hAnsi="Times New Roman" w:cs="Times New Roman"/>
          <w:sz w:val="24"/>
          <w:szCs w:val="24"/>
        </w:rPr>
        <w:t>{%p if trustee_process_</w:t>
      </w:r>
      <w:proofErr w:type="gramStart"/>
      <w:r w:rsidR="00090E97" w:rsidRPr="003364AF">
        <w:rPr>
          <w:rFonts w:ascii="Times New Roman" w:hAnsi="Times New Roman" w:cs="Times New Roman"/>
          <w:sz w:val="24"/>
          <w:szCs w:val="24"/>
        </w:rPr>
        <w:t>motion.court</w:t>
      </w:r>
      <w:proofErr w:type="gramEnd"/>
      <w:r w:rsidR="00090E97" w:rsidRPr="003364AF">
        <w:rPr>
          <w:rFonts w:ascii="Times New Roman" w:hAnsi="Times New Roman" w:cs="Times New Roman"/>
          <w:sz w:val="24"/>
          <w:szCs w:val="24"/>
        </w:rPr>
        <w:t xml:space="preserve">_ordered_specific_garnishment_amount %} </w:t>
      </w:r>
      <w:r w:rsidRPr="003364AF">
        <w:rPr>
          <w:rFonts w:ascii="Times New Roman" w:hAnsi="Times New Roman" w:cs="Times New Roman"/>
          <w:sz w:val="24"/>
          <w:szCs w:val="24"/>
        </w:rPr>
        <w:t xml:space="preserve">ordered </w:t>
      </w:r>
      <w:r w:rsidR="00090E97" w:rsidRPr="003364AF">
        <w:rPr>
          <w:rFonts w:ascii="Times New Roman" w:hAnsi="Times New Roman" w:cs="Times New Roman"/>
          <w:sz w:val="24"/>
          <w:szCs w:val="24"/>
        </w:rPr>
        <w:t xml:space="preserve">{{ </w:t>
      </w:r>
      <w:proofErr w:type="spellStart"/>
      <w:r w:rsidR="00090E97" w:rsidRPr="003364AF">
        <w:rPr>
          <w:rFonts w:ascii="Times New Roman" w:hAnsi="Times New Roman" w:cs="Times New Roman"/>
          <w:sz w:val="24"/>
          <w:szCs w:val="24"/>
        </w:rPr>
        <w:t>trustee_process_motion.garnishment_amount</w:t>
      </w:r>
      <w:proofErr w:type="spellEnd"/>
      <w:r w:rsidR="00090E97" w:rsidRPr="003364AF">
        <w:rPr>
          <w:rFonts w:ascii="Times New Roman" w:hAnsi="Times New Roman" w:cs="Times New Roman"/>
          <w:sz w:val="24"/>
          <w:szCs w:val="24"/>
        </w:rPr>
        <w:t xml:space="preserve"> }}</w:t>
      </w:r>
      <w:r w:rsidRPr="003364AF">
        <w:rPr>
          <w:rFonts w:ascii="Times New Roman" w:hAnsi="Times New Roman" w:cs="Times New Roman"/>
          <w:sz w:val="24"/>
          <w:szCs w:val="24"/>
        </w:rPr>
        <w:t xml:space="preserve"> be garnished each week. </w:t>
      </w:r>
      <w:r w:rsidR="00DB7841" w:rsidRPr="003364AF">
        <w:rPr>
          <w:rFonts w:ascii="Times New Roman" w:hAnsi="Times New Roman" w:cs="Times New Roman"/>
          <w:sz w:val="24"/>
          <w:szCs w:val="24"/>
        </w:rPr>
        <w:t xml:space="preserve">{% else %} </w:t>
      </w:r>
      <w:r w:rsidRPr="003364AF">
        <w:rPr>
          <w:rFonts w:ascii="Times New Roman" w:hAnsi="Times New Roman" w:cs="Times New Roman"/>
          <w:sz w:val="24"/>
          <w:szCs w:val="24"/>
        </w:rPr>
        <w:t xml:space="preserve">did not specify how much wages could be garnished. </w:t>
      </w:r>
      <w:r w:rsidR="00DB7841" w:rsidRPr="003364AF">
        <w:rPr>
          <w:rFonts w:ascii="Times New Roman" w:hAnsi="Times New Roman" w:cs="Times New Roman"/>
          <w:sz w:val="24"/>
          <w:szCs w:val="24"/>
        </w:rPr>
        <w:t>{% endif %}</w:t>
      </w:r>
    </w:p>
    <w:p w14:paraId="5239797F" w14:textId="69CD9A6B" w:rsidR="003F0DB7" w:rsidRPr="003F0DB7" w:rsidRDefault="004E4269" w:rsidP="004E4269">
      <w:pPr>
        <w:pStyle w:val="Body"/>
        <w:spacing w:line="240" w:lineRule="auto"/>
        <w:rPr>
          <w:rFonts w:ascii="Times New Roman" w:eastAsia="Times New Roman" w:hAnsi="Times New Roman" w:cs="Times New Roman"/>
          <w:b/>
          <w:bCs/>
          <w:sz w:val="24"/>
          <w:szCs w:val="24"/>
        </w:rPr>
      </w:pPr>
      <w:r w:rsidRPr="4BD824A5">
        <w:rPr>
          <w:rFonts w:ascii="Times New Roman" w:hAnsi="Times New Roman" w:cs="Times New Roman"/>
          <w:b/>
          <w:bCs/>
          <w:sz w:val="24"/>
          <w:szCs w:val="24"/>
        </w:rPr>
        <w:t xml:space="preserve">The Wage </w:t>
      </w:r>
      <w:r w:rsidR="6A62018E" w:rsidRPr="4BD824A5">
        <w:rPr>
          <w:rFonts w:ascii="Times New Roman" w:hAnsi="Times New Roman" w:cs="Times New Roman"/>
          <w:b/>
          <w:bCs/>
          <w:sz w:val="24"/>
          <w:szCs w:val="24"/>
        </w:rPr>
        <w:t xml:space="preserve">attachment </w:t>
      </w:r>
      <w:r w:rsidRPr="4BD824A5">
        <w:rPr>
          <w:rFonts w:ascii="Times New Roman" w:hAnsi="Times New Roman" w:cs="Times New Roman"/>
          <w:b/>
          <w:bCs/>
          <w:sz w:val="24"/>
          <w:szCs w:val="24"/>
        </w:rPr>
        <w:t>should be dissolved</w:t>
      </w:r>
      <w:r w:rsidR="345E3B29" w:rsidRPr="4BD824A5">
        <w:rPr>
          <w:rFonts w:ascii="Times New Roman" w:hAnsi="Times New Roman" w:cs="Times New Roman"/>
          <w:b/>
          <w:bCs/>
          <w:sz w:val="24"/>
          <w:szCs w:val="24"/>
        </w:rPr>
        <w:t xml:space="preserve"> or stayed</w:t>
      </w:r>
      <w:r w:rsidRPr="4BD824A5">
        <w:rPr>
          <w:rFonts w:ascii="Times New Roman" w:hAnsi="Times New Roman" w:cs="Times New Roman"/>
          <w:b/>
          <w:bCs/>
          <w:sz w:val="24"/>
          <w:szCs w:val="24"/>
        </w:rPr>
        <w:t xml:space="preserve"> because of the extraordinary circumstances of the pandemic</w:t>
      </w:r>
    </w:p>
    <w:p w14:paraId="46EE701F" w14:textId="424B7643" w:rsidR="003F0DB7" w:rsidRPr="00B72A54" w:rsidRDefault="00404060" w:rsidP="009F7F6F">
      <w:pPr>
        <w:pStyle w:val="Body"/>
        <w:numPr>
          <w:ilvl w:val="0"/>
          <w:numId w:val="26"/>
        </w:numPr>
        <w:spacing w:line="480" w:lineRule="auto"/>
        <w:rPr>
          <w:rFonts w:ascii="Times New Roman" w:eastAsia="Times New Roman" w:hAnsi="Times New Roman" w:cs="Times New Roman"/>
          <w:sz w:val="24"/>
          <w:szCs w:val="24"/>
        </w:rPr>
      </w:pPr>
      <w:r w:rsidRPr="4BD824A5">
        <w:rPr>
          <w:rFonts w:ascii="Times New Roman" w:hAnsi="Times New Roman" w:cs="Times New Roman"/>
          <w:sz w:val="24"/>
          <w:szCs w:val="24"/>
        </w:rPr>
        <w:t xml:space="preserve">The Court should </w:t>
      </w:r>
      <w:r w:rsidR="3B163A80" w:rsidRPr="4BD824A5">
        <w:rPr>
          <w:rFonts w:ascii="Times New Roman" w:hAnsi="Times New Roman" w:cs="Times New Roman"/>
          <w:sz w:val="24"/>
          <w:szCs w:val="24"/>
        </w:rPr>
        <w:t xml:space="preserve">vacate and dissolve </w:t>
      </w:r>
      <w:r w:rsidR="0002428D" w:rsidRPr="4BD824A5">
        <w:rPr>
          <w:rFonts w:ascii="Times New Roman" w:hAnsi="Times New Roman" w:cs="Times New Roman"/>
          <w:sz w:val="24"/>
          <w:szCs w:val="24"/>
        </w:rPr>
        <w:t xml:space="preserve">(or in the alternative, stay) </w:t>
      </w:r>
      <w:r w:rsidRPr="4BD824A5">
        <w:rPr>
          <w:rFonts w:ascii="Times New Roman" w:hAnsi="Times New Roman" w:cs="Times New Roman"/>
          <w:sz w:val="24"/>
          <w:szCs w:val="24"/>
        </w:rPr>
        <w:t>the attachment order</w:t>
      </w:r>
      <w:r w:rsidR="0002428D" w:rsidRPr="4BD824A5">
        <w:rPr>
          <w:rFonts w:ascii="Times New Roman" w:hAnsi="Times New Roman" w:cs="Times New Roman"/>
          <w:sz w:val="24"/>
          <w:szCs w:val="24"/>
        </w:rPr>
        <w:t xml:space="preserve"> because the COVID-19 pandemic </w:t>
      </w:r>
      <w:r w:rsidR="003F0DB7" w:rsidRPr="4BD824A5">
        <w:rPr>
          <w:rFonts w:ascii="Times New Roman" w:hAnsi="Times New Roman" w:cs="Times New Roman"/>
          <w:sz w:val="24"/>
          <w:szCs w:val="24"/>
        </w:rPr>
        <w:t>has</w:t>
      </w:r>
      <w:r w:rsidR="0002428D" w:rsidRPr="4BD824A5">
        <w:rPr>
          <w:rFonts w:ascii="Times New Roman" w:hAnsi="Times New Roman" w:cs="Times New Roman"/>
          <w:sz w:val="24"/>
          <w:szCs w:val="24"/>
        </w:rPr>
        <w:t xml:space="preserve"> created extraordinary circumstances </w:t>
      </w:r>
      <w:proofErr w:type="gramStart"/>
      <w:r w:rsidR="0002428D" w:rsidRPr="4BD824A5">
        <w:rPr>
          <w:rFonts w:ascii="Times New Roman" w:hAnsi="Times New Roman" w:cs="Times New Roman"/>
          <w:sz w:val="24"/>
          <w:szCs w:val="24"/>
        </w:rPr>
        <w:t>so as to</w:t>
      </w:r>
      <w:proofErr w:type="gramEnd"/>
      <w:r w:rsidR="0002428D" w:rsidRPr="4BD824A5">
        <w:rPr>
          <w:rFonts w:ascii="Times New Roman" w:hAnsi="Times New Roman" w:cs="Times New Roman"/>
          <w:sz w:val="24"/>
          <w:szCs w:val="24"/>
        </w:rPr>
        <w:t xml:space="preserve"> make any </w:t>
      </w:r>
      <w:r w:rsidR="003F0DB7" w:rsidRPr="4BD824A5">
        <w:rPr>
          <w:rFonts w:ascii="Times New Roman" w:hAnsi="Times New Roman" w:cs="Times New Roman"/>
          <w:sz w:val="24"/>
          <w:szCs w:val="24"/>
        </w:rPr>
        <w:t xml:space="preserve">wage </w:t>
      </w:r>
      <w:r w:rsidR="0002428D" w:rsidRPr="4BD824A5">
        <w:rPr>
          <w:rFonts w:ascii="Times New Roman" w:hAnsi="Times New Roman" w:cs="Times New Roman"/>
          <w:sz w:val="24"/>
          <w:szCs w:val="24"/>
        </w:rPr>
        <w:t>garnishmen</w:t>
      </w:r>
      <w:r w:rsidR="00905884" w:rsidRPr="4BD824A5">
        <w:rPr>
          <w:rFonts w:ascii="Times New Roman" w:hAnsi="Times New Roman" w:cs="Times New Roman"/>
          <w:sz w:val="24"/>
          <w:szCs w:val="24"/>
        </w:rPr>
        <w:t>t</w:t>
      </w:r>
      <w:r w:rsidR="00B72A54" w:rsidRPr="4BD824A5">
        <w:rPr>
          <w:rFonts w:ascii="Times New Roman" w:hAnsi="Times New Roman" w:cs="Times New Roman"/>
          <w:sz w:val="24"/>
          <w:szCs w:val="24"/>
        </w:rPr>
        <w:t xml:space="preserve"> </w:t>
      </w:r>
      <w:r w:rsidR="00905884" w:rsidRPr="4BD824A5">
        <w:rPr>
          <w:rFonts w:ascii="Times New Roman" w:hAnsi="Times New Roman" w:cs="Times New Roman"/>
          <w:sz w:val="24"/>
          <w:szCs w:val="24"/>
        </w:rPr>
        <w:t>inappropriate</w:t>
      </w:r>
      <w:r w:rsidR="0002428D" w:rsidRPr="4BD824A5">
        <w:rPr>
          <w:rFonts w:ascii="Times New Roman" w:hAnsi="Times New Roman" w:cs="Times New Roman"/>
          <w:sz w:val="24"/>
          <w:szCs w:val="24"/>
        </w:rPr>
        <w:t xml:space="preserve">.  </w:t>
      </w:r>
    </w:p>
    <w:p w14:paraId="1186B3BA" w14:textId="3E2F3491" w:rsidR="001626DE" w:rsidRPr="001626DE" w:rsidRDefault="00E53C5B" w:rsidP="001626DE">
      <w:pPr>
        <w:pStyle w:val="ListParagraph"/>
        <w:numPr>
          <w:ilvl w:val="0"/>
          <w:numId w:val="26"/>
        </w:numPr>
        <w:spacing w:line="480" w:lineRule="auto"/>
      </w:pPr>
      <w:r w:rsidRPr="001626DE">
        <w:rPr>
          <w:rFonts w:eastAsia="Calibri"/>
        </w:rPr>
        <w:t>Under the statutes</w:t>
      </w:r>
      <w:r w:rsidR="009F7F6F" w:rsidRPr="001626DE">
        <w:rPr>
          <w:rFonts w:eastAsia="Calibri"/>
        </w:rPr>
        <w:t xml:space="preserve"> and rules</w:t>
      </w:r>
      <w:r w:rsidRPr="001626DE">
        <w:rPr>
          <w:rFonts w:eastAsia="Calibri"/>
        </w:rPr>
        <w:t xml:space="preserve"> that govern trustee process actions, th</w:t>
      </w:r>
      <w:r w:rsidR="09DB6D39" w:rsidRPr="001626DE">
        <w:rPr>
          <w:rFonts w:eastAsia="Calibri"/>
        </w:rPr>
        <w:t xml:space="preserve">e Court </w:t>
      </w:r>
      <w:r w:rsidRPr="001626DE">
        <w:rPr>
          <w:rFonts w:eastAsia="Calibri"/>
        </w:rPr>
        <w:t xml:space="preserve">has discretion to deny a creditor’s motion to attach </w:t>
      </w:r>
      <w:r w:rsidR="009F7F6F" w:rsidRPr="001626DE">
        <w:rPr>
          <w:rFonts w:eastAsia="Calibri"/>
        </w:rPr>
        <w:t xml:space="preserve">wages.  Such discretion is evidenced in Rule </w:t>
      </w:r>
      <w:r w:rsidR="003D7CD3" w:rsidRPr="001626DE">
        <w:rPr>
          <w:rFonts w:eastAsia="Calibri"/>
        </w:rPr>
        <w:t>4.2(c), which states that an order approving trustee process “</w:t>
      </w:r>
      <w:r w:rsidR="003D7CD3" w:rsidRPr="4BD824A5">
        <w:rPr>
          <w:rFonts w:eastAsia="Calibri"/>
          <w:i/>
          <w:iCs/>
        </w:rPr>
        <w:t>may</w:t>
      </w:r>
      <w:r w:rsidR="003D7CD3" w:rsidRPr="001626DE">
        <w:rPr>
          <w:rFonts w:eastAsia="Calibri"/>
        </w:rPr>
        <w:t xml:space="preserve"> be entered” only after certain steps are taken.  The use of</w:t>
      </w:r>
      <w:r w:rsidR="001626DE" w:rsidRPr="001626DE">
        <w:rPr>
          <w:rFonts w:eastAsia="Calibri"/>
        </w:rPr>
        <w:t xml:space="preserve"> such permissive language indicates that “authorization and discretion” was intended.  </w:t>
      </w:r>
      <w:r w:rsidR="003D7CD3" w:rsidRPr="4BD824A5">
        <w:rPr>
          <w:i/>
          <w:iCs/>
          <w:color w:val="000000"/>
        </w:rPr>
        <w:t>Dowling v. Bd. of Assessors of City of Bos</w:t>
      </w:r>
      <w:r w:rsidR="003D7CD3" w:rsidRPr="001626DE">
        <w:rPr>
          <w:color w:val="000000"/>
          <w:u w:val="single"/>
        </w:rPr>
        <w:t>.</w:t>
      </w:r>
      <w:r w:rsidR="003D7CD3" w:rsidRPr="001626DE">
        <w:rPr>
          <w:color w:val="000000"/>
        </w:rPr>
        <w:t xml:space="preserve">, 268 Mass. 480, </w:t>
      </w:r>
      <w:r w:rsidR="003D7CD3" w:rsidRPr="001626DE">
        <w:rPr>
          <w:color w:val="000000"/>
        </w:rPr>
        <w:lastRenderedPageBreak/>
        <w:t>488–89 (1929)</w:t>
      </w:r>
      <w:r w:rsidR="001626DE" w:rsidRPr="001626DE">
        <w:rPr>
          <w:color w:val="000000"/>
        </w:rPr>
        <w:t xml:space="preserve">.  In addition, under its jurisdictional statute, this court has broad equitable powers and jurisdiction for the </w:t>
      </w:r>
      <w:r w:rsidR="001626DE" w:rsidRPr="003364AF">
        <w:t>purposes of the “</w:t>
      </w:r>
      <w:r w:rsidR="001626DE" w:rsidRPr="003364AF">
        <w:rPr>
          <w:shd w:val="clear" w:color="auto" w:fill="FFFFFF"/>
        </w:rPr>
        <w:t xml:space="preserve">hearing and disposition” of civil actions for money damages like this one. </w:t>
      </w:r>
      <w:r w:rsidR="004E4269" w:rsidRPr="003364AF">
        <w:rPr>
          <w:shd w:val="clear" w:color="auto" w:fill="FFFFFF"/>
        </w:rPr>
        <w:t xml:space="preserve"> G.L. c. 218, § 19C.  </w:t>
      </w:r>
    </w:p>
    <w:p w14:paraId="0E68FBA9" w14:textId="762A7393" w:rsidR="001626DE" w:rsidRPr="001626DE" w:rsidRDefault="001626DE" w:rsidP="001626DE">
      <w:pPr>
        <w:pStyle w:val="ListParagraph"/>
        <w:numPr>
          <w:ilvl w:val="0"/>
          <w:numId w:val="26"/>
        </w:numPr>
        <w:spacing w:line="480" w:lineRule="auto"/>
      </w:pPr>
      <w:r>
        <w:rPr>
          <w:rFonts w:eastAsia="Calibri"/>
        </w:rPr>
        <w:t xml:space="preserve">The Court should exercise such discretion and equitable powers because of the extraordinary circumstances which the COVID-19 pandemic presets. </w:t>
      </w:r>
    </w:p>
    <w:p w14:paraId="3690A2F0" w14:textId="6B4F766F" w:rsidR="00B72A54" w:rsidRDefault="003F0DB7" w:rsidP="00B72A54">
      <w:pPr>
        <w:pStyle w:val="Body"/>
        <w:numPr>
          <w:ilvl w:val="0"/>
          <w:numId w:val="26"/>
        </w:numPr>
        <w:spacing w:line="480" w:lineRule="auto"/>
        <w:rPr>
          <w:rFonts w:ascii="Times New Roman" w:eastAsia="Times New Roman" w:hAnsi="Times New Roman" w:cs="Times New Roman"/>
          <w:sz w:val="24"/>
          <w:szCs w:val="24"/>
        </w:rPr>
      </w:pPr>
      <w:r w:rsidRPr="00905884">
        <w:rPr>
          <w:rFonts w:ascii="Times New Roman" w:hAnsi="Times New Roman" w:cs="Times New Roman"/>
          <w:color w:val="141414"/>
          <w:sz w:val="24"/>
          <w:szCs w:val="24"/>
        </w:rPr>
        <w:t>As Governor Baker declared in his Executive Order declaring the State of Emergency</w:t>
      </w:r>
      <w:r w:rsidR="00B72A54">
        <w:rPr>
          <w:rFonts w:ascii="Times New Roman" w:hAnsi="Times New Roman" w:cs="Times New Roman"/>
          <w:color w:val="141414"/>
          <w:sz w:val="24"/>
          <w:szCs w:val="24"/>
        </w:rPr>
        <w:t xml:space="preserve"> to Respond to COVID-19 on March 10, 2020</w:t>
      </w:r>
      <w:r w:rsidRPr="00905884">
        <w:rPr>
          <w:rFonts w:ascii="Times New Roman" w:hAnsi="Times New Roman" w:cs="Times New Roman"/>
          <w:color w:val="141414"/>
          <w:sz w:val="24"/>
          <w:szCs w:val="24"/>
        </w:rPr>
        <w:t xml:space="preserve">, “the worldwide outbreak of COVID-19 and the effects of its extreme risk of person-to-person transmission throughout the United States and the Commonwealth significantly affect the </w:t>
      </w:r>
      <w:r w:rsidRPr="00905884">
        <w:rPr>
          <w:rFonts w:ascii="Times New Roman" w:hAnsi="Times New Roman" w:cs="Times New Roman"/>
          <w:i/>
          <w:iCs/>
          <w:color w:val="141414"/>
          <w:sz w:val="24"/>
          <w:szCs w:val="24"/>
        </w:rPr>
        <w:t>life and health of our people, as well as the economy, and is a disaster that impacts the health, security, and safety of the public</w:t>
      </w:r>
      <w:r w:rsidRPr="00905884">
        <w:rPr>
          <w:rFonts w:ascii="Times New Roman" w:hAnsi="Times New Roman" w:cs="Times New Roman"/>
          <w:color w:val="141414"/>
          <w:sz w:val="24"/>
          <w:szCs w:val="24"/>
        </w:rPr>
        <w:t>[.]”  Executive Order No. 591: Declaration of a State of Emergency to Respond to COVID-19</w:t>
      </w:r>
      <w:r w:rsidR="00905884" w:rsidRPr="00905884">
        <w:rPr>
          <w:rFonts w:ascii="Times New Roman" w:hAnsi="Times New Roman" w:cs="Times New Roman"/>
          <w:color w:val="141414"/>
          <w:sz w:val="24"/>
          <w:szCs w:val="24"/>
        </w:rPr>
        <w:t xml:space="preserve"> (emphasis added).  </w:t>
      </w:r>
    </w:p>
    <w:p w14:paraId="627F74E9" w14:textId="0D3D6C90" w:rsidR="00B72A54" w:rsidRDefault="00B72A54" w:rsidP="009F7F6F">
      <w:pPr>
        <w:pStyle w:val="Body"/>
        <w:numPr>
          <w:ilvl w:val="0"/>
          <w:numId w:val="2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Executive Order and subsequent ones have highlighted, COVID-19 has resulted in significant economic impacts on residents of Massachusetts, including loss of income and wages.  </w:t>
      </w:r>
      <w:r w:rsidR="009F7F6F">
        <w:rPr>
          <w:rFonts w:ascii="Times New Roman" w:eastAsia="Times New Roman" w:hAnsi="Times New Roman" w:cs="Times New Roman"/>
          <w:sz w:val="24"/>
          <w:szCs w:val="24"/>
        </w:rPr>
        <w:t xml:space="preserve">The pandemic threatens to undermine the financial and housing security of residents of the Commonwealth and individuals </w:t>
      </w:r>
      <w:r w:rsidR="009F7F6F" w:rsidRPr="009F7F6F">
        <w:rPr>
          <w:rFonts w:ascii="Times New Roman" w:eastAsia="Times New Roman" w:hAnsi="Times New Roman" w:cs="Times New Roman"/>
          <w:sz w:val="24"/>
          <w:szCs w:val="24"/>
        </w:rPr>
        <w:t>need</w:t>
      </w:r>
      <w:r w:rsidR="009F7F6F">
        <w:rPr>
          <w:rFonts w:ascii="Times New Roman" w:eastAsia="Times New Roman" w:hAnsi="Times New Roman" w:cs="Times New Roman"/>
          <w:sz w:val="24"/>
          <w:szCs w:val="24"/>
        </w:rPr>
        <w:t xml:space="preserve"> any available</w:t>
      </w:r>
      <w:r w:rsidR="009F7F6F" w:rsidRPr="009F7F6F">
        <w:rPr>
          <w:rFonts w:ascii="Times New Roman" w:eastAsia="Times New Roman" w:hAnsi="Times New Roman" w:cs="Times New Roman"/>
          <w:sz w:val="24"/>
          <w:szCs w:val="24"/>
        </w:rPr>
        <w:t xml:space="preserve"> funds for essential items like food, medicine, housing, and transportation.  </w:t>
      </w:r>
      <w:r w:rsidRPr="009F7F6F">
        <w:rPr>
          <w:rFonts w:ascii="Times New Roman" w:eastAsia="Times New Roman" w:hAnsi="Times New Roman" w:cs="Times New Roman"/>
          <w:sz w:val="24"/>
          <w:szCs w:val="24"/>
        </w:rPr>
        <w:t xml:space="preserve"> </w:t>
      </w:r>
    </w:p>
    <w:p w14:paraId="2743E31A" w14:textId="77777777" w:rsidR="00ED56C8" w:rsidRPr="00ED56C8" w:rsidRDefault="009F7F6F" w:rsidP="00ED56C8">
      <w:pPr>
        <w:pStyle w:val="Body"/>
        <w:numPr>
          <w:ilvl w:val="0"/>
          <w:numId w:val="26"/>
        </w:numPr>
        <w:spacing w:line="480" w:lineRule="auto"/>
        <w:rPr>
          <w:rFonts w:ascii="Times New Roman" w:eastAsia="Times New Roman" w:hAnsi="Times New Roman" w:cs="Times New Roman"/>
          <w:sz w:val="24"/>
          <w:szCs w:val="24"/>
        </w:rPr>
      </w:pPr>
      <w:r w:rsidRPr="4BD824A5">
        <w:rPr>
          <w:rFonts w:ascii="Times New Roman" w:eastAsia="Times New Roman" w:hAnsi="Times New Roman" w:cs="Times New Roman"/>
          <w:sz w:val="24"/>
          <w:szCs w:val="24"/>
        </w:rPr>
        <w:t>As a result, the Court should use its discretion and</w:t>
      </w:r>
      <w:r w:rsidR="001626DE" w:rsidRPr="4BD824A5">
        <w:rPr>
          <w:rFonts w:ascii="Times New Roman" w:eastAsia="Times New Roman" w:hAnsi="Times New Roman" w:cs="Times New Roman"/>
          <w:sz w:val="24"/>
          <w:szCs w:val="24"/>
        </w:rPr>
        <w:t xml:space="preserve"> equitable powers</w:t>
      </w:r>
      <w:r w:rsidRPr="4BD824A5">
        <w:rPr>
          <w:rFonts w:ascii="Times New Roman" w:eastAsia="Times New Roman" w:hAnsi="Times New Roman" w:cs="Times New Roman"/>
          <w:sz w:val="24"/>
          <w:szCs w:val="24"/>
        </w:rPr>
        <w:t xml:space="preserve"> </w:t>
      </w:r>
      <w:r w:rsidR="2AAE299E" w:rsidRPr="4BD824A5">
        <w:rPr>
          <w:rFonts w:ascii="Times New Roman" w:eastAsia="Times New Roman" w:hAnsi="Times New Roman" w:cs="Times New Roman"/>
          <w:sz w:val="24"/>
          <w:szCs w:val="24"/>
        </w:rPr>
        <w:t xml:space="preserve">vacate and dissolve </w:t>
      </w:r>
      <w:r w:rsidR="2AAE299E" w:rsidRPr="00ED56C8">
        <w:rPr>
          <w:rFonts w:ascii="Times New Roman" w:eastAsia="Times New Roman" w:hAnsi="Times New Roman" w:cs="Times New Roman"/>
          <w:sz w:val="24"/>
          <w:szCs w:val="24"/>
        </w:rPr>
        <w:t>t</w:t>
      </w:r>
      <w:r w:rsidRPr="00ED56C8">
        <w:rPr>
          <w:rFonts w:ascii="Times New Roman" w:eastAsia="Times New Roman" w:hAnsi="Times New Roman" w:cs="Times New Roman"/>
          <w:sz w:val="24"/>
          <w:szCs w:val="24"/>
        </w:rPr>
        <w:t>he order allowing the garnishment of Defendant’s wages</w:t>
      </w:r>
      <w:r w:rsidR="0AA47703" w:rsidRPr="00ED56C8">
        <w:rPr>
          <w:rFonts w:ascii="Times New Roman" w:eastAsia="Times New Roman" w:hAnsi="Times New Roman" w:cs="Times New Roman"/>
          <w:sz w:val="24"/>
          <w:szCs w:val="24"/>
        </w:rPr>
        <w:t xml:space="preserve"> or, in the a</w:t>
      </w:r>
      <w:r w:rsidR="3C8A9954" w:rsidRPr="00ED56C8">
        <w:rPr>
          <w:rFonts w:ascii="Times New Roman" w:eastAsia="Times New Roman" w:hAnsi="Times New Roman" w:cs="Times New Roman"/>
          <w:sz w:val="24"/>
          <w:szCs w:val="24"/>
        </w:rPr>
        <w:t>lternative</w:t>
      </w:r>
      <w:r w:rsidR="0AA47703" w:rsidRPr="00ED56C8">
        <w:rPr>
          <w:rFonts w:ascii="Times New Roman" w:eastAsia="Times New Roman" w:hAnsi="Times New Roman" w:cs="Times New Roman"/>
          <w:sz w:val="24"/>
          <w:szCs w:val="24"/>
        </w:rPr>
        <w:t>, stay it</w:t>
      </w:r>
      <w:r w:rsidRPr="00ED56C8">
        <w:rPr>
          <w:rFonts w:ascii="Times New Roman" w:eastAsia="Times New Roman" w:hAnsi="Times New Roman" w:cs="Times New Roman"/>
          <w:sz w:val="24"/>
          <w:szCs w:val="24"/>
        </w:rPr>
        <w:t xml:space="preserve">. </w:t>
      </w:r>
    </w:p>
    <w:p w14:paraId="399038CB" w14:textId="713D04B3" w:rsidR="065BC184" w:rsidRPr="00ED56C8" w:rsidRDefault="065BC184" w:rsidP="00ED56C8">
      <w:pPr>
        <w:pStyle w:val="Body"/>
        <w:numPr>
          <w:ilvl w:val="0"/>
          <w:numId w:val="26"/>
        </w:numPr>
        <w:spacing w:line="480" w:lineRule="auto"/>
        <w:rPr>
          <w:rFonts w:ascii="Times New Roman" w:eastAsia="Times New Roman" w:hAnsi="Times New Roman" w:cs="Times New Roman"/>
          <w:sz w:val="24"/>
          <w:szCs w:val="24"/>
        </w:rPr>
      </w:pPr>
      <w:r w:rsidRPr="00ED56C8">
        <w:rPr>
          <w:rFonts w:ascii="Times New Roman" w:hAnsi="Times New Roman" w:cs="Times New Roman"/>
          <w:color w:val="000000" w:themeColor="text1"/>
          <w:sz w:val="24"/>
          <w:szCs w:val="24"/>
        </w:rPr>
        <w:t>Moreover, even if we were not in the midst of a global pandemic, the order should be stayed or dissolved because Defendant,</w:t>
      </w:r>
      <w:r w:rsidR="003364AF" w:rsidRPr="00ED56C8">
        <w:rPr>
          <w:rFonts w:ascii="Times New Roman" w:hAnsi="Times New Roman" w:cs="Times New Roman"/>
          <w:color w:val="000000" w:themeColor="text1"/>
          <w:sz w:val="24"/>
          <w:szCs w:val="24"/>
        </w:rPr>
        <w:t xml:space="preserve"> </w:t>
      </w:r>
      <w:r w:rsidR="003364AF" w:rsidRPr="00ED56C8">
        <w:rPr>
          <w:rFonts w:ascii="Times New Roman" w:hAnsi="Times New Roman" w:cs="Times New Roman"/>
          <w:color w:val="000000" w:themeColor="text1"/>
          <w:sz w:val="24"/>
          <w:szCs w:val="24"/>
        </w:rPr>
        <w:t>{%p if “lack of notice” in defenses %}</w:t>
      </w:r>
      <w:r w:rsidRPr="00ED56C8">
        <w:rPr>
          <w:rFonts w:ascii="Times New Roman" w:hAnsi="Times New Roman" w:cs="Times New Roman"/>
          <w:color w:val="000000" w:themeColor="text1"/>
          <w:sz w:val="24"/>
          <w:szCs w:val="24"/>
        </w:rPr>
        <w:t>who did not have notice of the original hearing on the motion to allow trustee process,</w:t>
      </w:r>
      <w:r w:rsidR="003364AF" w:rsidRPr="00ED56C8">
        <w:rPr>
          <w:rFonts w:ascii="Times New Roman" w:hAnsi="Times New Roman" w:cs="Times New Roman"/>
          <w:color w:val="000000" w:themeColor="text1"/>
          <w:sz w:val="24"/>
          <w:szCs w:val="24"/>
        </w:rPr>
        <w:t xml:space="preserve">{% endif </w:t>
      </w:r>
      <w:r w:rsidR="003364AF" w:rsidRPr="00ED56C8">
        <w:rPr>
          <w:rFonts w:ascii="Times New Roman" w:hAnsi="Times New Roman" w:cs="Times New Roman"/>
          <w:color w:val="000000" w:themeColor="text1"/>
          <w:sz w:val="24"/>
          <w:szCs w:val="24"/>
        </w:rPr>
        <w:lastRenderedPageBreak/>
        <w:t>%}</w:t>
      </w:r>
      <w:r w:rsidRPr="00ED56C8">
        <w:rPr>
          <w:rFonts w:ascii="Times New Roman" w:hAnsi="Times New Roman" w:cs="Times New Roman"/>
          <w:color w:val="000000" w:themeColor="text1"/>
          <w:sz w:val="24"/>
          <w:szCs w:val="24"/>
        </w:rPr>
        <w:t xml:space="preserve"> has </w:t>
      </w:r>
      <w:r w:rsidR="003364AF" w:rsidRPr="00ED56C8">
        <w:rPr>
          <w:rFonts w:ascii="Times New Roman" w:hAnsi="Times New Roman" w:cs="Times New Roman"/>
          <w:color w:val="000000" w:themeColor="text1"/>
          <w:sz w:val="24"/>
          <w:szCs w:val="24"/>
        </w:rPr>
        <w:t xml:space="preserve">{{ </w:t>
      </w:r>
      <w:r w:rsidR="001857F3">
        <w:rPr>
          <w:rFonts w:ascii="Times New Roman" w:hAnsi="Times New Roman" w:cs="Times New Roman"/>
          <w:color w:val="000000" w:themeColor="text1"/>
          <w:sz w:val="24"/>
          <w:szCs w:val="24"/>
        </w:rPr>
        <w:t>length</w:t>
      </w:r>
      <w:r w:rsidR="003364AF" w:rsidRPr="00ED56C8">
        <w:rPr>
          <w:rFonts w:ascii="Times New Roman" w:hAnsi="Times New Roman" w:cs="Times New Roman"/>
          <w:color w:val="000000" w:themeColor="text1"/>
          <w:sz w:val="24"/>
          <w:szCs w:val="24"/>
        </w:rPr>
        <w:t>(defenses) }}</w:t>
      </w:r>
      <w:r w:rsidRPr="00ED56C8">
        <w:rPr>
          <w:rFonts w:ascii="Times New Roman" w:hAnsi="Times New Roman" w:cs="Times New Roman"/>
          <w:color w:val="000000" w:themeColor="text1"/>
          <w:sz w:val="24"/>
          <w:szCs w:val="24"/>
        </w:rPr>
        <w:t xml:space="preserve"> valid defenses to this action</w:t>
      </w:r>
      <w:r w:rsidR="003364AF" w:rsidRPr="00ED56C8">
        <w:rPr>
          <w:rFonts w:ascii="Times New Roman" w:hAnsi="Times New Roman" w:cs="Times New Roman"/>
          <w:color w:val="000000" w:themeColor="text1"/>
          <w:sz w:val="24"/>
          <w:szCs w:val="24"/>
        </w:rPr>
        <w:t xml:space="preserve">—{{ </w:t>
      </w:r>
      <w:proofErr w:type="spellStart"/>
      <w:r w:rsidR="003364AF" w:rsidRPr="00ED56C8">
        <w:rPr>
          <w:rFonts w:ascii="Times New Roman" w:hAnsi="Times New Roman" w:cs="Times New Roman"/>
          <w:color w:val="000000" w:themeColor="text1"/>
          <w:sz w:val="24"/>
          <w:szCs w:val="24"/>
        </w:rPr>
        <w:t>comma_and_list</w:t>
      </w:r>
      <w:proofErr w:type="spellEnd"/>
      <w:r w:rsidR="003364AF" w:rsidRPr="00ED56C8">
        <w:rPr>
          <w:rFonts w:ascii="Times New Roman" w:hAnsi="Times New Roman" w:cs="Times New Roman"/>
          <w:color w:val="000000" w:themeColor="text1"/>
          <w:sz w:val="24"/>
          <w:szCs w:val="24"/>
        </w:rPr>
        <w:t>(defenses) }</w:t>
      </w:r>
      <w:r w:rsidR="003364AF" w:rsidRPr="00ED56C8">
        <w:rPr>
          <w:rFonts w:ascii="Times New Roman" w:hAnsi="Times New Roman" w:cs="Times New Roman"/>
          <w:color w:val="000000" w:themeColor="text1"/>
          <w:sz w:val="24"/>
          <w:szCs w:val="24"/>
        </w:rPr>
        <w:t>}.</w:t>
      </w:r>
    </w:p>
    <w:p w14:paraId="6256E8E0" w14:textId="14C2569C" w:rsidR="4BD824A5" w:rsidRDefault="003364AF" w:rsidP="4BD824A5">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 if “reduction in income” in defenses %}</w:t>
      </w:r>
    </w:p>
    <w:p w14:paraId="66714757" w14:textId="31237568" w:rsidR="003F0DB7" w:rsidRPr="003F0DB7" w:rsidRDefault="003F0DB7" w:rsidP="003F0DB7">
      <w:pPr>
        <w:pStyle w:val="Body"/>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Reduction</w:t>
      </w:r>
      <w:r w:rsidR="00B0165F">
        <w:rPr>
          <w:rFonts w:ascii="Times New Roman" w:eastAsia="Times New Roman" w:hAnsi="Times New Roman" w:cs="Times New Roman"/>
          <w:b/>
          <w:bCs/>
          <w:sz w:val="24"/>
          <w:szCs w:val="24"/>
        </w:rPr>
        <w:t xml:space="preserve"> in</w:t>
      </w:r>
      <w:r>
        <w:rPr>
          <w:rFonts w:ascii="Times New Roman" w:eastAsia="Times New Roman" w:hAnsi="Times New Roman" w:cs="Times New Roman"/>
          <w:b/>
          <w:bCs/>
          <w:sz w:val="24"/>
          <w:szCs w:val="24"/>
        </w:rPr>
        <w:t xml:space="preserve"> income </w:t>
      </w:r>
    </w:p>
    <w:p w14:paraId="11EFB8B9" w14:textId="39F0BCA3" w:rsidR="0002428D" w:rsidRPr="008D0F47" w:rsidRDefault="008D0F47" w:rsidP="0002428D">
      <w:pPr>
        <w:pStyle w:val="Body"/>
        <w:numPr>
          <w:ilvl w:val="0"/>
          <w:numId w:val="26"/>
        </w:numPr>
        <w:spacing w:line="480" w:lineRule="auto"/>
        <w:jc w:val="both"/>
        <w:rPr>
          <w:rFonts w:ascii="Times New Roman" w:eastAsia="Times New Roman" w:hAnsi="Times New Roman" w:cs="Times New Roman"/>
          <w:sz w:val="24"/>
          <w:szCs w:val="24"/>
        </w:rPr>
      </w:pPr>
      <w:r w:rsidRPr="4BD824A5">
        <w:rPr>
          <w:rFonts w:ascii="Times New Roman" w:hAnsi="Times New Roman" w:cs="Times New Roman"/>
          <w:sz w:val="24"/>
          <w:szCs w:val="24"/>
        </w:rPr>
        <w:t xml:space="preserve">The Court should </w:t>
      </w:r>
      <w:r w:rsidR="009F7F6F" w:rsidRPr="4BD824A5">
        <w:rPr>
          <w:rFonts w:ascii="Times New Roman" w:hAnsi="Times New Roman" w:cs="Times New Roman"/>
          <w:sz w:val="24"/>
          <w:szCs w:val="24"/>
        </w:rPr>
        <w:t>dissolve</w:t>
      </w:r>
      <w:r w:rsidRPr="4BD824A5">
        <w:rPr>
          <w:rFonts w:ascii="Times New Roman" w:hAnsi="Times New Roman" w:cs="Times New Roman"/>
          <w:sz w:val="24"/>
          <w:szCs w:val="24"/>
        </w:rPr>
        <w:t xml:space="preserve"> the order because Defendant’s income has been reduced due to the COVID-19 pandemic and </w:t>
      </w:r>
      <w:r w:rsidR="003364AF">
        <w:rPr>
          <w:rFonts w:ascii="Times New Roman" w:hAnsi="Times New Roman" w:cs="Times New Roman"/>
          <w:sz w:val="24"/>
          <w:szCs w:val="24"/>
        </w:rPr>
        <w:t xml:space="preserve">all of </w:t>
      </w:r>
      <w:proofErr w:type="gramStart"/>
      <w:r w:rsidR="003364AF">
        <w:rPr>
          <w:rFonts w:ascii="Times New Roman" w:hAnsi="Times New Roman" w:cs="Times New Roman"/>
          <w:sz w:val="24"/>
          <w:szCs w:val="24"/>
        </w:rPr>
        <w:t xml:space="preserve">{{ </w:t>
      </w:r>
      <w:proofErr w:type="spellStart"/>
      <w:r w:rsidR="003364AF" w:rsidRPr="003364AF">
        <w:rPr>
          <w:rFonts w:ascii="Times New Roman" w:hAnsi="Times New Roman" w:cs="Times New Roman"/>
          <w:sz w:val="24"/>
          <w:szCs w:val="24"/>
        </w:rPr>
        <w:t>user</w:t>
      </w:r>
      <w:proofErr w:type="gramEnd"/>
      <w:r w:rsidR="003364AF" w:rsidRPr="003364AF">
        <w:rPr>
          <w:rFonts w:ascii="Times New Roman" w:hAnsi="Times New Roman" w:cs="Times New Roman"/>
          <w:sz w:val="24"/>
          <w:szCs w:val="24"/>
        </w:rPr>
        <w:t>.pronoun_possessive</w:t>
      </w:r>
      <w:proofErr w:type="spellEnd"/>
      <w:r w:rsidR="003364AF" w:rsidRPr="003364AF">
        <w:rPr>
          <w:rFonts w:ascii="Times New Roman" w:hAnsi="Times New Roman" w:cs="Times New Roman"/>
          <w:sz w:val="24"/>
          <w:szCs w:val="24"/>
        </w:rPr>
        <w:t>(wages)</w:t>
      </w:r>
      <w:r w:rsidR="003364AF">
        <w:rPr>
          <w:rFonts w:ascii="Times New Roman" w:hAnsi="Times New Roman" w:cs="Times New Roman"/>
          <w:sz w:val="24"/>
          <w:szCs w:val="24"/>
        </w:rPr>
        <w:t xml:space="preserve"> }}</w:t>
      </w:r>
      <w:r w:rsidR="003364AF" w:rsidRPr="003364AF">
        <w:rPr>
          <w:rFonts w:ascii="Times New Roman" w:hAnsi="Times New Roman" w:cs="Times New Roman"/>
          <w:sz w:val="24"/>
          <w:szCs w:val="24"/>
        </w:rPr>
        <w:t xml:space="preserve"> </w:t>
      </w:r>
      <w:r w:rsidRPr="4BD824A5">
        <w:rPr>
          <w:rFonts w:ascii="Times New Roman" w:hAnsi="Times New Roman" w:cs="Times New Roman"/>
          <w:sz w:val="24"/>
          <w:szCs w:val="24"/>
        </w:rPr>
        <w:t xml:space="preserve">are exempt from collection now.  </w:t>
      </w:r>
    </w:p>
    <w:p w14:paraId="11AC677A" w14:textId="36A7AFC6" w:rsidR="008D0F47" w:rsidRPr="008D0F47" w:rsidRDefault="008D0F47" w:rsidP="008D0F47">
      <w:pPr>
        <w:pStyle w:val="Body"/>
        <w:numPr>
          <w:ilvl w:val="0"/>
          <w:numId w:val="26"/>
        </w:numPr>
        <w:spacing w:line="480" w:lineRule="auto"/>
        <w:rPr>
          <w:rFonts w:ascii="Times New Roman" w:hAnsi="Times New Roman" w:cs="Times New Roman"/>
          <w:sz w:val="24"/>
          <w:szCs w:val="24"/>
        </w:rPr>
      </w:pPr>
      <w:r w:rsidRPr="008D0F47">
        <w:rPr>
          <w:rFonts w:ascii="Times New Roman" w:eastAsia="Calibri" w:hAnsi="Times New Roman" w:cs="Times New Roman"/>
          <w:sz w:val="24"/>
          <w:szCs w:val="24"/>
        </w:rPr>
        <w:t xml:space="preserve">G.L. c. 246, § 28, the statute that governs trustee process actions, lays out a wage exemption of the higher of 50 times the greater of the federal or the Massachusetts hourly minimum wage </w:t>
      </w:r>
      <w:r>
        <w:rPr>
          <w:rFonts w:ascii="Times New Roman" w:eastAsia="Calibri" w:hAnsi="Times New Roman" w:cs="Times New Roman"/>
          <w:sz w:val="24"/>
          <w:szCs w:val="24"/>
        </w:rPr>
        <w:t>or 85 percent of the debtor’s gross wages.</w:t>
      </w:r>
      <w:r>
        <w:rPr>
          <w:rStyle w:val="FootnoteReference"/>
          <w:rFonts w:ascii="Times New Roman" w:eastAsia="Calibri" w:hAnsi="Times New Roman" w:cs="Times New Roman"/>
          <w:sz w:val="24"/>
          <w:szCs w:val="24"/>
        </w:rPr>
        <w:footnoteReference w:id="1"/>
      </w:r>
      <w:r>
        <w:rPr>
          <w:rFonts w:ascii="Times New Roman" w:eastAsia="Calibri" w:hAnsi="Times New Roman" w:cs="Times New Roman"/>
          <w:sz w:val="24"/>
          <w:szCs w:val="24"/>
        </w:rPr>
        <w:t xml:space="preserve">   </w:t>
      </w:r>
    </w:p>
    <w:p w14:paraId="392C5E28" w14:textId="7ABCACD7" w:rsidR="008D0F47" w:rsidRPr="008D0F47" w:rsidRDefault="008D0F47" w:rsidP="008D0F47">
      <w:pPr>
        <w:pStyle w:val="Body"/>
        <w:numPr>
          <w:ilvl w:val="0"/>
          <w:numId w:val="26"/>
        </w:numPr>
        <w:spacing w:line="480" w:lineRule="auto"/>
        <w:rPr>
          <w:rFonts w:ascii="Times New Roman" w:hAnsi="Times New Roman" w:cs="Times New Roman"/>
          <w:sz w:val="24"/>
          <w:szCs w:val="24"/>
        </w:rPr>
      </w:pPr>
      <w:r w:rsidRPr="4BD824A5">
        <w:rPr>
          <w:rFonts w:ascii="Times New Roman" w:hAnsi="Times New Roman" w:cs="Times New Roman"/>
          <w:sz w:val="24"/>
          <w:szCs w:val="24"/>
        </w:rPr>
        <w:t>The minimum wage in Massachusetts, as of January 1, 2020, is $12.75 per hour.  St. 2018, c. 121 (An Act Relative to Minimum Wage, Paid Family Medical Leave and the Sales Tax Holiday).  As a result, “50 times . . . the Massachusetts hourly minimum wage for each week” is $637.50.</w:t>
      </w:r>
      <w:r>
        <w:t xml:space="preserve">  </w:t>
      </w:r>
    </w:p>
    <w:p w14:paraId="58B9EFC0" w14:textId="54A0CB9E" w:rsidR="003F0DB7" w:rsidRDefault="00B0165F" w:rsidP="003F0DB7">
      <w:pPr>
        <w:pStyle w:val="Body"/>
        <w:numPr>
          <w:ilvl w:val="0"/>
          <w:numId w:val="26"/>
        </w:numPr>
        <w:spacing w:line="480" w:lineRule="auto"/>
        <w:jc w:val="both"/>
        <w:rPr>
          <w:rFonts w:ascii="Times New Roman" w:eastAsia="Times New Roman" w:hAnsi="Times New Roman" w:cs="Times New Roman"/>
          <w:sz w:val="24"/>
          <w:szCs w:val="24"/>
        </w:rPr>
      </w:pPr>
      <w:r w:rsidRPr="4BD824A5">
        <w:rPr>
          <w:rFonts w:ascii="Times New Roman" w:eastAsia="Times New Roman" w:hAnsi="Times New Roman" w:cs="Times New Roman"/>
          <w:sz w:val="24"/>
          <w:szCs w:val="24"/>
        </w:rPr>
        <w:t xml:space="preserve">Defendant’s income has been reduced as a result of the pandemic.  Her gross weekly wages are now </w:t>
      </w:r>
      <w:proofErr w:type="gramStart"/>
      <w:r w:rsidR="003E308A">
        <w:rPr>
          <w:rFonts w:ascii="Times New Roman" w:eastAsia="Times New Roman" w:hAnsi="Times New Roman" w:cs="Times New Roman"/>
          <w:sz w:val="24"/>
          <w:szCs w:val="24"/>
        </w:rPr>
        <w:t>{{ to</w:t>
      </w:r>
      <w:r w:rsidR="001F0F53">
        <w:rPr>
          <w:rFonts w:ascii="Times New Roman" w:eastAsia="Times New Roman" w:hAnsi="Times New Roman" w:cs="Times New Roman"/>
          <w:sz w:val="24"/>
          <w:szCs w:val="24"/>
        </w:rPr>
        <w:t>tal</w:t>
      </w:r>
      <w:proofErr w:type="gramEnd"/>
      <w:r w:rsidR="001F0F53">
        <w:rPr>
          <w:rFonts w:ascii="Times New Roman" w:eastAsia="Times New Roman" w:hAnsi="Times New Roman" w:cs="Times New Roman"/>
          <w:sz w:val="24"/>
          <w:szCs w:val="24"/>
        </w:rPr>
        <w:t>(jobs) }}.</w:t>
      </w:r>
      <w:r w:rsidRPr="4BD824A5">
        <w:rPr>
          <w:rFonts w:ascii="Times New Roman" w:eastAsia="Times New Roman" w:hAnsi="Times New Roman" w:cs="Times New Roman"/>
          <w:sz w:val="24"/>
          <w:szCs w:val="24"/>
        </w:rPr>
        <w:t xml:space="preserve">   As this is less than $637.50, </w:t>
      </w:r>
      <w:proofErr w:type="gramStart"/>
      <w:r w:rsidR="001F0F53">
        <w:rPr>
          <w:rFonts w:ascii="Times New Roman" w:hAnsi="Times New Roman" w:cs="Times New Roman"/>
          <w:sz w:val="24"/>
          <w:szCs w:val="24"/>
        </w:rPr>
        <w:t xml:space="preserve">{{ </w:t>
      </w:r>
      <w:proofErr w:type="spellStart"/>
      <w:r w:rsidR="001F0F53" w:rsidRPr="003364AF">
        <w:rPr>
          <w:rFonts w:ascii="Times New Roman" w:hAnsi="Times New Roman" w:cs="Times New Roman"/>
          <w:sz w:val="24"/>
          <w:szCs w:val="24"/>
        </w:rPr>
        <w:t>user</w:t>
      </w:r>
      <w:proofErr w:type="gramEnd"/>
      <w:r w:rsidR="001F0F53" w:rsidRPr="003364AF">
        <w:rPr>
          <w:rFonts w:ascii="Times New Roman" w:hAnsi="Times New Roman" w:cs="Times New Roman"/>
          <w:sz w:val="24"/>
          <w:szCs w:val="24"/>
        </w:rPr>
        <w:t>.pronoun_possessive</w:t>
      </w:r>
      <w:proofErr w:type="spellEnd"/>
      <w:r w:rsidR="001F0F53" w:rsidRPr="003364AF">
        <w:rPr>
          <w:rFonts w:ascii="Times New Roman" w:hAnsi="Times New Roman" w:cs="Times New Roman"/>
          <w:sz w:val="24"/>
          <w:szCs w:val="24"/>
        </w:rPr>
        <w:t>(</w:t>
      </w:r>
      <w:r w:rsidR="001F0F53">
        <w:rPr>
          <w:rFonts w:ascii="Times New Roman" w:hAnsi="Times New Roman" w:cs="Times New Roman"/>
          <w:sz w:val="24"/>
          <w:szCs w:val="24"/>
        </w:rPr>
        <w:t>income</w:t>
      </w:r>
      <w:r w:rsidR="001F0F53" w:rsidRPr="003364AF">
        <w:rPr>
          <w:rFonts w:ascii="Times New Roman" w:hAnsi="Times New Roman" w:cs="Times New Roman"/>
          <w:sz w:val="24"/>
          <w:szCs w:val="24"/>
        </w:rPr>
        <w:t>)</w:t>
      </w:r>
      <w:r w:rsidR="001F0F53">
        <w:rPr>
          <w:rFonts w:ascii="Times New Roman" w:hAnsi="Times New Roman" w:cs="Times New Roman"/>
          <w:sz w:val="24"/>
          <w:szCs w:val="24"/>
        </w:rPr>
        <w:t xml:space="preserve"> }}</w:t>
      </w:r>
      <w:r w:rsidR="001F0F53" w:rsidRPr="003364AF">
        <w:rPr>
          <w:rFonts w:ascii="Times New Roman" w:hAnsi="Times New Roman" w:cs="Times New Roman"/>
          <w:sz w:val="24"/>
          <w:szCs w:val="24"/>
        </w:rPr>
        <w:t xml:space="preserve"> </w:t>
      </w:r>
      <w:r w:rsidRPr="4BD824A5">
        <w:rPr>
          <w:rFonts w:ascii="Times New Roman" w:eastAsia="Times New Roman" w:hAnsi="Times New Roman" w:cs="Times New Roman"/>
          <w:sz w:val="24"/>
          <w:szCs w:val="24"/>
        </w:rPr>
        <w:t xml:space="preserve">is now entirely exempt from collection.  </w:t>
      </w:r>
    </w:p>
    <w:p w14:paraId="42C90703" w14:textId="2B84F8C9" w:rsidR="003364AF" w:rsidRPr="00B0165F" w:rsidRDefault="003364AF" w:rsidP="003364AF">
      <w:pPr>
        <w:pStyle w:val="Body"/>
        <w:spacing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endif %}</w:t>
      </w:r>
    </w:p>
    <w:p w14:paraId="15E96633" w14:textId="40BD0EBA" w:rsidR="00ED56C8" w:rsidRPr="00ED56C8" w:rsidRDefault="00ED56C8" w:rsidP="00ED56C8">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 if “</w:t>
      </w:r>
      <w:r>
        <w:rPr>
          <w:rFonts w:ascii="Times New Roman" w:eastAsia="Times New Roman" w:hAnsi="Times New Roman" w:cs="Times New Roman"/>
          <w:sz w:val="24"/>
          <w:szCs w:val="24"/>
        </w:rPr>
        <w:t>no non-exempt income</w:t>
      </w:r>
      <w:r>
        <w:rPr>
          <w:rFonts w:ascii="Times New Roman" w:eastAsia="Times New Roman" w:hAnsi="Times New Roman" w:cs="Times New Roman"/>
          <w:sz w:val="24"/>
          <w:szCs w:val="24"/>
        </w:rPr>
        <w:t>” in defenses %}</w:t>
      </w:r>
    </w:p>
    <w:p w14:paraId="30471E7B" w14:textId="6C47B4A1" w:rsidR="00BC219E" w:rsidRDefault="00BC219E" w:rsidP="00BC219E">
      <w:pPr>
        <w:pStyle w:val="Body"/>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 non-exempt income</w:t>
      </w:r>
    </w:p>
    <w:p w14:paraId="17580685" w14:textId="0B351852" w:rsidR="00F175A5" w:rsidRPr="00F175A5" w:rsidRDefault="004E76D4" w:rsidP="00F175A5">
      <w:pPr>
        <w:pStyle w:val="Body"/>
        <w:numPr>
          <w:ilvl w:val="0"/>
          <w:numId w:val="26"/>
        </w:numPr>
        <w:spacing w:line="480" w:lineRule="auto"/>
        <w:rPr>
          <w:rFonts w:ascii="Times New Roman" w:hAnsi="Times New Roman" w:cs="Times New Roman"/>
          <w:sz w:val="24"/>
          <w:szCs w:val="24"/>
        </w:rPr>
      </w:pPr>
      <w:r w:rsidRPr="4BD824A5">
        <w:rPr>
          <w:rFonts w:ascii="Times New Roman" w:eastAsia="Calibri" w:hAnsi="Times New Roman" w:cs="Times New Roman"/>
          <w:sz w:val="24"/>
          <w:szCs w:val="24"/>
        </w:rPr>
        <w:t xml:space="preserve">Under the statutes that govern this proceeding, the Court may only order an attachment of wages if, after applying various statutory exemptions, including those for wages, rent, and utilities, a debtor has non-exempt income left to garnish. </w:t>
      </w:r>
      <w:r w:rsidR="004F4610" w:rsidRPr="4BD824A5">
        <w:rPr>
          <w:rFonts w:ascii="Times New Roman" w:eastAsia="Calibri" w:hAnsi="Times New Roman" w:cs="Times New Roman"/>
          <w:sz w:val="24"/>
          <w:szCs w:val="24"/>
        </w:rPr>
        <w:t xml:space="preserve"> After applying such exemptions, Defendant does not have any non-exempt income left to be garnished. </w:t>
      </w:r>
      <w:r w:rsidRPr="4BD824A5">
        <w:rPr>
          <w:rFonts w:ascii="Times New Roman" w:eastAsia="Calibri" w:hAnsi="Times New Roman" w:cs="Times New Roman"/>
          <w:sz w:val="24"/>
          <w:szCs w:val="24"/>
        </w:rPr>
        <w:t xml:space="preserve">  </w:t>
      </w:r>
    </w:p>
    <w:p w14:paraId="23000C29" w14:textId="77777777" w:rsidR="00B0165F" w:rsidRPr="00B0165F" w:rsidRDefault="004E76D4" w:rsidP="008D0F47">
      <w:pPr>
        <w:pStyle w:val="Body"/>
        <w:numPr>
          <w:ilvl w:val="0"/>
          <w:numId w:val="26"/>
        </w:numPr>
        <w:spacing w:line="480" w:lineRule="auto"/>
        <w:rPr>
          <w:rFonts w:ascii="Times New Roman" w:hAnsi="Times New Roman" w:cs="Times New Roman"/>
          <w:sz w:val="24"/>
          <w:szCs w:val="24"/>
        </w:rPr>
      </w:pPr>
      <w:r w:rsidRPr="00F175A5">
        <w:rPr>
          <w:rFonts w:ascii="Times New Roman" w:eastAsia="Calibri" w:hAnsi="Times New Roman" w:cs="Times New Roman"/>
          <w:sz w:val="24"/>
          <w:szCs w:val="24"/>
        </w:rPr>
        <w:t xml:space="preserve">G.L. c. 246, § 28, the statute that governs trustee process actions, lays out a wage exemption of </w:t>
      </w:r>
      <w:r w:rsidR="00B0165F">
        <w:rPr>
          <w:rFonts w:ascii="Times New Roman" w:eastAsia="Calibri" w:hAnsi="Times New Roman" w:cs="Times New Roman"/>
          <w:sz w:val="24"/>
          <w:szCs w:val="24"/>
        </w:rPr>
        <w:t xml:space="preserve">the higher of </w:t>
      </w:r>
      <w:r w:rsidRPr="00F175A5">
        <w:rPr>
          <w:rFonts w:ascii="Times New Roman" w:eastAsia="Calibri" w:hAnsi="Times New Roman" w:cs="Times New Roman"/>
          <w:sz w:val="24"/>
          <w:szCs w:val="24"/>
        </w:rPr>
        <w:t>eighty five percent of gross wages or 50 times the greater of the federal or Massachusetts hourly minimum wage</w:t>
      </w:r>
      <w:r w:rsidR="00F175A5">
        <w:rPr>
          <w:rFonts w:ascii="Times New Roman" w:eastAsia="Calibri" w:hAnsi="Times New Roman" w:cs="Times New Roman"/>
          <w:sz w:val="24"/>
          <w:szCs w:val="24"/>
        </w:rPr>
        <w:t>.</w:t>
      </w:r>
      <w:r w:rsidR="00F175A5">
        <w:rPr>
          <w:rStyle w:val="FootnoteReference"/>
          <w:rFonts w:ascii="Times New Roman" w:eastAsia="Calibri" w:hAnsi="Times New Roman" w:cs="Times New Roman"/>
          <w:sz w:val="24"/>
          <w:szCs w:val="24"/>
        </w:rPr>
        <w:footnoteReference w:id="2"/>
      </w:r>
      <w:r w:rsidR="00F175A5">
        <w:rPr>
          <w:rFonts w:ascii="Times New Roman" w:eastAsia="Calibri" w:hAnsi="Times New Roman" w:cs="Times New Roman"/>
          <w:sz w:val="24"/>
          <w:szCs w:val="24"/>
        </w:rPr>
        <w:t xml:space="preserve">  </w:t>
      </w:r>
      <w:r w:rsidR="00B0165F">
        <w:rPr>
          <w:rFonts w:ascii="Times New Roman" w:eastAsia="Calibri" w:hAnsi="Times New Roman" w:cs="Times New Roman"/>
          <w:sz w:val="24"/>
          <w:szCs w:val="24"/>
        </w:rPr>
        <w:t>This amount cannot be garnished.</w:t>
      </w:r>
    </w:p>
    <w:p w14:paraId="3221F563" w14:textId="0E425D40" w:rsidR="008D0F47" w:rsidRPr="008D0F47" w:rsidRDefault="008D0F47" w:rsidP="008D0F47">
      <w:pPr>
        <w:pStyle w:val="Body"/>
        <w:numPr>
          <w:ilvl w:val="0"/>
          <w:numId w:val="26"/>
        </w:numPr>
        <w:spacing w:line="480" w:lineRule="auto"/>
        <w:rPr>
          <w:rFonts w:ascii="Times New Roman" w:hAnsi="Times New Roman" w:cs="Times New Roman"/>
          <w:sz w:val="24"/>
          <w:szCs w:val="24"/>
        </w:rPr>
      </w:pPr>
      <w:r w:rsidRPr="4BD824A5">
        <w:rPr>
          <w:rFonts w:ascii="Times New Roman" w:hAnsi="Times New Roman" w:cs="Times New Roman"/>
          <w:sz w:val="24"/>
          <w:szCs w:val="24"/>
        </w:rPr>
        <w:t>The minimum wage in Massachusetts, as of January 1, 2020, is $12.75 per hour.  St. 2018, c. 121 (An Act Relative to Minimum Wage, Paid Family Medical Leave and the Sales Tax Holiday).  As a result, “50 times . . . the Massachusetts hourly minimum wage for each week” is $637.50.</w:t>
      </w:r>
      <w:r>
        <w:t xml:space="preserve">  </w:t>
      </w:r>
    </w:p>
    <w:p w14:paraId="3AAD1E1B" w14:textId="1E68B2EC" w:rsidR="008D0F47" w:rsidRPr="008D0F47" w:rsidRDefault="00F175A5" w:rsidP="00F175A5">
      <w:pPr>
        <w:pStyle w:val="Body"/>
        <w:numPr>
          <w:ilvl w:val="0"/>
          <w:numId w:val="26"/>
        </w:numPr>
        <w:spacing w:line="480" w:lineRule="auto"/>
        <w:rPr>
          <w:rFonts w:ascii="Times New Roman" w:hAnsi="Times New Roman" w:cs="Times New Roman"/>
          <w:sz w:val="24"/>
          <w:szCs w:val="24"/>
        </w:rPr>
      </w:pPr>
      <w:r w:rsidRPr="4BD824A5">
        <w:rPr>
          <w:rFonts w:ascii="Times New Roman" w:eastAsia="Calibri" w:hAnsi="Times New Roman" w:cs="Times New Roman"/>
          <w:sz w:val="24"/>
          <w:szCs w:val="24"/>
        </w:rPr>
        <w:t>In addition, G.L. c. 223, § 42, dictates that property is exempt from being taken on execution under G.L. c. 235, § 34 cannot be subject to attachment in a trustee process action:</w:t>
      </w:r>
    </w:p>
    <w:p w14:paraId="31A4DBA8" w14:textId="4403BED9" w:rsidR="008D0F47" w:rsidRDefault="008D0F47" w:rsidP="00B0165F">
      <w:pPr>
        <w:pStyle w:val="ListParagraph"/>
        <w:ind w:left="1440"/>
        <w:rPr>
          <w:rFonts w:eastAsia="Calibri"/>
        </w:rPr>
      </w:pPr>
      <w:r w:rsidRPr="008D0F47">
        <w:rPr>
          <w:rFonts w:eastAsia="Calibri"/>
          <w:b/>
        </w:rPr>
        <w:t>All real and personal property liable to be taken on execution, except</w:t>
      </w:r>
      <w:r w:rsidRPr="008D0F47">
        <w:rPr>
          <w:rFonts w:eastAsia="Calibri"/>
        </w:rPr>
        <w:t xml:space="preserve"> such personal property as, from its nature or situation, has been considered as exempt according to the principles of the common law as adopted and practiced in the commonwealth, or </w:t>
      </w:r>
      <w:r w:rsidRPr="008D0F47">
        <w:rPr>
          <w:rFonts w:eastAsia="Calibri"/>
          <w:b/>
        </w:rPr>
        <w:t xml:space="preserve">which is specifically exempt from execution under section </w:t>
      </w:r>
      <w:r w:rsidRPr="008D0F47">
        <w:rPr>
          <w:rFonts w:eastAsia="Calibri"/>
          <w:b/>
        </w:rPr>
        <w:lastRenderedPageBreak/>
        <w:t>thirty-four of chapter two hundred and thirty-five</w:t>
      </w:r>
      <w:r w:rsidRPr="008D0F47">
        <w:rPr>
          <w:rFonts w:eastAsia="Calibri"/>
        </w:rPr>
        <w:t>, and except as provided in the four following sections, may be attached upon a writ of attachment in any action in which the debt or damages are recoverable</w:t>
      </w:r>
    </w:p>
    <w:p w14:paraId="5EBD64BF" w14:textId="77777777" w:rsidR="00B0165F" w:rsidRPr="00B0165F" w:rsidRDefault="00B0165F" w:rsidP="00B0165F">
      <w:pPr>
        <w:pStyle w:val="ListParagraph"/>
        <w:ind w:left="1440"/>
        <w:rPr>
          <w:rFonts w:eastAsia="Calibri"/>
        </w:rPr>
      </w:pPr>
    </w:p>
    <w:p w14:paraId="3AB75E77" w14:textId="78BCAE89" w:rsidR="004E76D4" w:rsidRDefault="00F175A5" w:rsidP="008D0F47">
      <w:pPr>
        <w:pStyle w:val="Body"/>
        <w:spacing w:line="480" w:lineRule="auto"/>
        <w:ind w:left="720"/>
        <w:rPr>
          <w:rFonts w:ascii="Times New Roman" w:hAnsi="Times New Roman" w:cs="Times New Roman"/>
          <w:sz w:val="24"/>
          <w:szCs w:val="24"/>
        </w:rPr>
      </w:pPr>
      <w:r w:rsidRPr="008D0F47">
        <w:rPr>
          <w:rFonts w:ascii="Times New Roman" w:eastAsia="Calibri" w:hAnsi="Times New Roman" w:cs="Times New Roman"/>
          <w:sz w:val="24"/>
          <w:szCs w:val="24"/>
        </w:rPr>
        <w:t xml:space="preserve">G.L. 223, § 42 (emphasis added); </w:t>
      </w:r>
      <w:r w:rsidRPr="008D0F47">
        <w:rPr>
          <w:rFonts w:ascii="Times New Roman" w:hAnsi="Times New Roman" w:cs="Times New Roman"/>
          <w:i/>
          <w:iCs/>
          <w:sz w:val="24"/>
          <w:szCs w:val="24"/>
        </w:rPr>
        <w:t>see also Jordan v. La</w:t>
      </w:r>
      <w:bookmarkStart w:id="1" w:name="_GoBack"/>
      <w:bookmarkEnd w:id="1"/>
      <w:r w:rsidRPr="008D0F47">
        <w:rPr>
          <w:rFonts w:ascii="Times New Roman" w:hAnsi="Times New Roman" w:cs="Times New Roman"/>
          <w:i/>
          <w:iCs/>
          <w:sz w:val="24"/>
          <w:szCs w:val="24"/>
        </w:rPr>
        <w:t>vin</w:t>
      </w:r>
      <w:r w:rsidRPr="008D0F47">
        <w:rPr>
          <w:rFonts w:ascii="Times New Roman" w:hAnsi="Times New Roman" w:cs="Times New Roman"/>
          <w:sz w:val="24"/>
          <w:szCs w:val="24"/>
        </w:rPr>
        <w:t xml:space="preserve">, 319 Mass. 362, 366 (Mass. 1946) (“Unless a chattel could ultimately be seized on the execution, and sold, it would be futile and therefore legally impossible to attach it by trustee process.”).  </w:t>
      </w:r>
    </w:p>
    <w:p w14:paraId="104FE647" w14:textId="77777777" w:rsidR="00B0165F" w:rsidRPr="00B0165F" w:rsidRDefault="00B0165F" w:rsidP="00B0165F">
      <w:pPr>
        <w:pStyle w:val="Body"/>
        <w:numPr>
          <w:ilvl w:val="0"/>
          <w:numId w:val="26"/>
        </w:numPr>
        <w:spacing w:line="480" w:lineRule="auto"/>
        <w:jc w:val="both"/>
        <w:rPr>
          <w:rFonts w:ascii="Times New Roman" w:hAnsi="Times New Roman" w:cs="Times New Roman"/>
          <w:sz w:val="24"/>
          <w:szCs w:val="24"/>
        </w:rPr>
      </w:pPr>
      <w:r w:rsidRPr="4BD824A5">
        <w:rPr>
          <w:rFonts w:ascii="Times New Roman" w:eastAsia="Calibri" w:hAnsi="Times New Roman" w:cs="Times New Roman"/>
          <w:sz w:val="24"/>
          <w:szCs w:val="24"/>
        </w:rPr>
        <w:t>Pursuant to G.L. c. 235, § 34, the following assets of the debtor are among those that are “exempt from seizure on execution” and therefore, because of G.L. c. 223, § 42, are also exempt from attachment in a trustee process action:</w:t>
      </w:r>
    </w:p>
    <w:p w14:paraId="6441E4E4" w14:textId="318A719F" w:rsidR="00B0165F" w:rsidRPr="00B0165F" w:rsidRDefault="00B0165F" w:rsidP="002060E9">
      <w:pPr>
        <w:pStyle w:val="ListParagraph"/>
        <w:ind w:left="1440" w:right="720"/>
        <w:jc w:val="both"/>
        <w:rPr>
          <w:rFonts w:eastAsia="Calibri"/>
        </w:rPr>
      </w:pPr>
      <w:r w:rsidRPr="00B0165F">
        <w:rPr>
          <w:rFonts w:eastAsia="Calibri"/>
        </w:rPr>
        <w:t>First . . . the amount each month, not exceeding $500, reasonably necessary to pay for fuel, heat, refrigeration, water, hot water and light for the debtor and the debtor's family;</w:t>
      </w:r>
    </w:p>
    <w:p w14:paraId="4EF6FA62" w14:textId="77777777" w:rsidR="00B0165F" w:rsidRPr="00B0165F" w:rsidRDefault="00B0165F" w:rsidP="002060E9">
      <w:pPr>
        <w:pStyle w:val="ListParagraph"/>
        <w:ind w:left="1440" w:right="720"/>
        <w:jc w:val="both"/>
        <w:rPr>
          <w:rFonts w:eastAsia="Calibri"/>
        </w:rPr>
      </w:pPr>
      <w:r w:rsidRPr="00B0165F">
        <w:rPr>
          <w:rFonts w:eastAsia="Calibri"/>
        </w:rPr>
        <w:t xml:space="preserve">. . . </w:t>
      </w:r>
    </w:p>
    <w:p w14:paraId="73F06F98" w14:textId="77777777" w:rsidR="00B0165F" w:rsidRPr="002060E9" w:rsidRDefault="00B0165F" w:rsidP="002060E9">
      <w:pPr>
        <w:ind w:left="1440" w:right="720"/>
        <w:jc w:val="both"/>
        <w:rPr>
          <w:rFonts w:eastAsia="Calibri"/>
        </w:rPr>
      </w:pPr>
      <w:r w:rsidRPr="002060E9">
        <w:rPr>
          <w:rFonts w:eastAsia="Calibri"/>
        </w:rPr>
        <w:t>Fourteenth, Estates of homestead as defined in chapter 188 or, in lieu thereof, the amount of money each rental period, not exceeding $2,500 per month, necessary to pay the rent for the dwelling unit occupied by the debtor and the debtor's family</w:t>
      </w:r>
    </w:p>
    <w:p w14:paraId="69F60CEF" w14:textId="77777777" w:rsidR="00B0165F" w:rsidRPr="00B0165F" w:rsidRDefault="00B0165F" w:rsidP="002060E9">
      <w:pPr>
        <w:pStyle w:val="ListParagraph"/>
        <w:ind w:right="720" w:firstLine="720"/>
        <w:jc w:val="both"/>
        <w:rPr>
          <w:rFonts w:eastAsia="Calibri"/>
        </w:rPr>
      </w:pPr>
      <w:r w:rsidRPr="00B0165F">
        <w:rPr>
          <w:rFonts w:eastAsia="Calibri"/>
        </w:rPr>
        <w:t xml:space="preserve">. . . </w:t>
      </w:r>
    </w:p>
    <w:p w14:paraId="4353DD93" w14:textId="0B23D0D0" w:rsidR="00B0165F" w:rsidRDefault="00B0165F" w:rsidP="002060E9">
      <w:pPr>
        <w:ind w:left="1440" w:right="720"/>
        <w:jc w:val="both"/>
        <w:rPr>
          <w:rFonts w:eastAsia="Calibri"/>
        </w:rPr>
      </w:pPr>
      <w:r w:rsidRPr="002060E9">
        <w:rPr>
          <w:rFonts w:eastAsia="Calibri"/>
        </w:rPr>
        <w:t>Fifteenth, $2,500 in cash or savings or other deposits in a banking or investment institution, wages equal to the greater of 85 per cent of the debtor’s gross wages or 50 times the greater of the federal or the Massachusetts hourly minimum wage for each week or portion thereof and the full amount owing or paid to a person as public assistance[.]</w:t>
      </w:r>
    </w:p>
    <w:p w14:paraId="780E77A7" w14:textId="77777777" w:rsidR="002060E9" w:rsidRPr="002060E9" w:rsidRDefault="002060E9" w:rsidP="002060E9">
      <w:pPr>
        <w:ind w:left="1440" w:right="720"/>
        <w:jc w:val="both"/>
        <w:rPr>
          <w:rFonts w:eastAsia="Calibri"/>
        </w:rPr>
      </w:pPr>
    </w:p>
    <w:p w14:paraId="284C77C8" w14:textId="77777777" w:rsidR="002060E9" w:rsidRDefault="00B0165F" w:rsidP="00B0165F">
      <w:pPr>
        <w:pStyle w:val="BodyText2"/>
        <w:numPr>
          <w:ilvl w:val="0"/>
          <w:numId w:val="26"/>
        </w:numPr>
        <w:rPr>
          <w:rFonts w:ascii="Times New Roman" w:eastAsia="Times New Roman" w:hAnsi="Times New Roman" w:cs="Times New Roman"/>
        </w:rPr>
      </w:pPr>
      <w:r w:rsidRPr="4BD824A5">
        <w:rPr>
          <w:rFonts w:ascii="Times New Roman" w:eastAsia="Calibri" w:hAnsi="Times New Roman" w:cs="Times New Roman"/>
        </w:rPr>
        <w:t>In other words, in addition to reiterating the wage exemption codified at G.L. c. 246, § 28, G.L. c. 235, § 34 also includes a series of other exemptions, including a rental exemption of up to $2,500 per month and a utilities exemption (to pay for fuel, heat, refrigeration, water, hot water and light for the debtor and the debtor’s family) of up to $500 a month.  G</w:t>
      </w:r>
      <w:r w:rsidRPr="4BD824A5">
        <w:rPr>
          <w:rFonts w:ascii="Times New Roman" w:eastAsia="Times New Roman" w:hAnsi="Times New Roman" w:cs="Times New Roman"/>
        </w:rPr>
        <w:t xml:space="preserve">.L. c. 245, § 34 (fourteenth), (first). </w:t>
      </w:r>
    </w:p>
    <w:p w14:paraId="752623A1" w14:textId="31912530" w:rsidR="00B0165F" w:rsidRPr="001A0E86" w:rsidRDefault="00B0165F" w:rsidP="00B0165F">
      <w:pPr>
        <w:pStyle w:val="BodyText2"/>
        <w:numPr>
          <w:ilvl w:val="0"/>
          <w:numId w:val="26"/>
        </w:numPr>
        <w:rPr>
          <w:rFonts w:ascii="Times New Roman" w:eastAsia="Times New Roman" w:hAnsi="Times New Roman" w:cs="Times New Roman"/>
        </w:rPr>
      </w:pPr>
      <w:r w:rsidRPr="4BD824A5">
        <w:rPr>
          <w:rFonts w:ascii="Times New Roman" w:eastAsia="Times New Roman" w:hAnsi="Times New Roman" w:cs="Times New Roman"/>
        </w:rPr>
        <w:t xml:space="preserve">There is an “and” between the last two items in </w:t>
      </w:r>
      <w:r w:rsidRPr="4BD824A5">
        <w:rPr>
          <w:rFonts w:ascii="Times New Roman" w:eastAsia="Calibri" w:hAnsi="Times New Roman" w:cs="Times New Roman"/>
        </w:rPr>
        <w:t>G</w:t>
      </w:r>
      <w:r w:rsidRPr="4BD824A5">
        <w:rPr>
          <w:rFonts w:ascii="Times New Roman" w:eastAsia="Times New Roman" w:hAnsi="Times New Roman" w:cs="Times New Roman"/>
        </w:rPr>
        <w:t xml:space="preserve">.L. c. 245, § 34, clearly indicating that the various exemptions in the statute are not mutually exclusive and can be claimed cumulatively.  </w:t>
      </w:r>
      <w:r w:rsidRPr="4BD824A5">
        <w:rPr>
          <w:rFonts w:ascii="Times New Roman" w:eastAsia="Calibri" w:hAnsi="Times New Roman" w:cs="Times New Roman"/>
          <w:i/>
          <w:iCs/>
        </w:rPr>
        <w:t>See In re Faro</w:t>
      </w:r>
      <w:r w:rsidRPr="4BD824A5">
        <w:rPr>
          <w:rFonts w:ascii="Times New Roman" w:eastAsia="Calibri" w:hAnsi="Times New Roman" w:cs="Times New Roman"/>
        </w:rPr>
        <w:t>, No. 09–16896–FJB, 2010 WL 2787850, *2 (</w:t>
      </w:r>
      <w:proofErr w:type="spellStart"/>
      <w:r w:rsidRPr="4BD824A5">
        <w:rPr>
          <w:rFonts w:ascii="Times New Roman" w:eastAsia="Calibri" w:hAnsi="Times New Roman" w:cs="Times New Roman"/>
        </w:rPr>
        <w:t>Bankr</w:t>
      </w:r>
      <w:proofErr w:type="spellEnd"/>
      <w:r w:rsidRPr="4BD824A5">
        <w:rPr>
          <w:rFonts w:ascii="Times New Roman" w:eastAsia="Calibri" w:hAnsi="Times New Roman" w:cs="Times New Roman"/>
        </w:rPr>
        <w:t xml:space="preserve">. D. </w:t>
      </w:r>
      <w:r w:rsidRPr="4BD824A5">
        <w:rPr>
          <w:rFonts w:ascii="Times New Roman" w:eastAsia="Calibri" w:hAnsi="Times New Roman" w:cs="Times New Roman"/>
        </w:rPr>
        <w:lastRenderedPageBreak/>
        <w:t xml:space="preserve">Mass. July 13, 2010) (“The court . . . reads § 34 to permit a debtor to claim any and all listed items for which he or she may qualify, even where one is undesignated cash and the other is cash for a designated purpose, and that paragraph Fifteenth is not a limit on cash exemptible under the statute as a whole.”); </w:t>
      </w:r>
      <w:r w:rsidRPr="4BD824A5">
        <w:rPr>
          <w:rFonts w:ascii="Times New Roman" w:eastAsia="Times New Roman" w:hAnsi="Times New Roman" w:cs="Times New Roman"/>
        </w:rPr>
        <w:t>1A Sutherland Statutory Construction § 21:14 (7th ed.) (</w:t>
      </w:r>
      <w:r w:rsidRPr="4BD824A5">
        <w:rPr>
          <w:rFonts w:ascii="Times New Roman" w:hAnsi="Times New Roman" w:cs="Times New Roman"/>
        </w:rPr>
        <w:t xml:space="preserve">“Statutory phrases separated by the word ‘and’ are usually interpreted in the conjunctive.”).  </w:t>
      </w:r>
    </w:p>
    <w:p w14:paraId="6E37FE5D" w14:textId="5918CC97" w:rsidR="00B0165F" w:rsidRPr="002060E9" w:rsidRDefault="00B0165F" w:rsidP="002060E9">
      <w:pPr>
        <w:pStyle w:val="ListParagraph"/>
        <w:numPr>
          <w:ilvl w:val="0"/>
          <w:numId w:val="26"/>
        </w:numPr>
        <w:spacing w:line="480" w:lineRule="auto"/>
        <w:rPr>
          <w:rFonts w:eastAsia="Calibri"/>
        </w:rPr>
      </w:pPr>
      <w:r w:rsidRPr="4BD824A5">
        <w:rPr>
          <w:rFonts w:eastAsia="Calibri"/>
        </w:rPr>
        <w:t xml:space="preserve">The exemption statutes codified at G.L. c. 235, § 34 and G.L. c. 246, § 28 may not be deviated from, and no discretion can be exercised to adjust the amounts that they protect from collection.  </w:t>
      </w:r>
      <w:r w:rsidRPr="4BD824A5">
        <w:rPr>
          <w:rFonts w:eastAsia="Calibri"/>
          <w:i/>
          <w:iCs/>
        </w:rPr>
        <w:t xml:space="preserve">See </w:t>
      </w:r>
      <w:r w:rsidRPr="4BD824A5">
        <w:rPr>
          <w:rFonts w:eastAsia="Calibri"/>
        </w:rPr>
        <w:t xml:space="preserve">G.L. c. 235 § 34 (“The following property of the debtor </w:t>
      </w:r>
      <w:r w:rsidRPr="4BD824A5">
        <w:rPr>
          <w:rFonts w:eastAsia="Calibri"/>
          <w:i/>
          <w:iCs/>
        </w:rPr>
        <w:t>shall</w:t>
      </w:r>
      <w:r w:rsidRPr="4BD824A5">
        <w:rPr>
          <w:rFonts w:eastAsia="Calibri"/>
        </w:rPr>
        <w:t xml:space="preserve"> be exempt from seizure on execution </w:t>
      </w:r>
      <w:proofErr w:type="gramStart"/>
      <w:r w:rsidRPr="4BD824A5">
        <w:rPr>
          <w:rFonts w:eastAsia="Calibri"/>
        </w:rPr>
        <w:t>. . . .</w:t>
      </w:r>
      <w:proofErr w:type="gramEnd"/>
      <w:r w:rsidRPr="4BD824A5">
        <w:rPr>
          <w:rFonts w:eastAsia="Calibri"/>
        </w:rPr>
        <w:t>” (emphasis added)); G.L. c. 246, § 28 (“</w:t>
      </w:r>
      <w:r w:rsidRPr="4BD824A5">
        <w:rPr>
          <w:rFonts w:eastAsia="Calibri"/>
          <w:i/>
          <w:iCs/>
        </w:rPr>
        <w:t>shall</w:t>
      </w:r>
      <w:r w:rsidRPr="4BD824A5">
        <w:rPr>
          <w:rFonts w:eastAsia="Calibri"/>
        </w:rPr>
        <w:t xml:space="preserve"> be reserved in the hands of the trustee and </w:t>
      </w:r>
      <w:r w:rsidRPr="4BD824A5">
        <w:rPr>
          <w:rFonts w:eastAsia="Calibri"/>
          <w:i/>
          <w:iCs/>
        </w:rPr>
        <w:t>shall</w:t>
      </w:r>
      <w:r w:rsidRPr="4BD824A5">
        <w:rPr>
          <w:rFonts w:eastAsia="Calibri"/>
        </w:rPr>
        <w:t xml:space="preserve"> be exempt from such attachment” (emphasis added)); </w:t>
      </w:r>
      <w:r w:rsidRPr="4BD824A5">
        <w:rPr>
          <w:rFonts w:eastAsia="Calibri"/>
          <w:i/>
          <w:iCs/>
        </w:rPr>
        <w:t>Com. v. Cook</w:t>
      </w:r>
      <w:r w:rsidRPr="4BD824A5">
        <w:rPr>
          <w:rFonts w:eastAsia="Calibri"/>
        </w:rPr>
        <w:t xml:space="preserve">, 426 Mass. 174, 181 (1997) (discussing and following “the general rule of viewing ‘shall’ as mandatory . . . .”).  Moreover, enforcement of the exemptions statutes is important because Massachusetts and other states have enacted exemption statutes to ensure that debtors do not become public charges due to a privately incurred debt, and out of a recognition that certain property should be preserved in a debtor’s hands regardless of the debtor’s financial condition.  </w:t>
      </w:r>
      <w:r w:rsidRPr="4BD824A5">
        <w:rPr>
          <w:rFonts w:eastAsia="Calibri"/>
          <w:i/>
          <w:iCs/>
        </w:rPr>
        <w:t>See</w:t>
      </w:r>
      <w:r w:rsidRPr="4BD824A5">
        <w:rPr>
          <w:rFonts w:eastAsia="Calibri"/>
        </w:rPr>
        <w:t xml:space="preserve"> </w:t>
      </w:r>
      <w:proofErr w:type="spellStart"/>
      <w:r w:rsidRPr="4BD824A5">
        <w:rPr>
          <w:rFonts w:eastAsia="Calibri"/>
          <w:i/>
          <w:iCs/>
        </w:rPr>
        <w:t>Shamban</w:t>
      </w:r>
      <w:proofErr w:type="spellEnd"/>
      <w:r w:rsidRPr="4BD824A5">
        <w:rPr>
          <w:rFonts w:eastAsia="Calibri"/>
          <w:i/>
          <w:iCs/>
        </w:rPr>
        <w:t xml:space="preserve"> v. </w:t>
      </w:r>
      <w:proofErr w:type="spellStart"/>
      <w:r w:rsidRPr="4BD824A5">
        <w:rPr>
          <w:rFonts w:eastAsia="Calibri"/>
          <w:i/>
          <w:iCs/>
        </w:rPr>
        <w:t>Masidlover</w:t>
      </w:r>
      <w:proofErr w:type="spellEnd"/>
      <w:r w:rsidRPr="4BD824A5">
        <w:rPr>
          <w:rFonts w:eastAsia="Calibri"/>
        </w:rPr>
        <w:t xml:space="preserve">, 429 Mass. 50, 53 (Mass. 1999) (discussing these policy considerations).  </w:t>
      </w:r>
    </w:p>
    <w:p w14:paraId="3D1B6FE2" w14:textId="261FBF22" w:rsidR="002060E9" w:rsidRPr="002060E9" w:rsidRDefault="008D0F47" w:rsidP="002060E9">
      <w:pPr>
        <w:pStyle w:val="Body"/>
        <w:numPr>
          <w:ilvl w:val="0"/>
          <w:numId w:val="26"/>
        </w:numPr>
        <w:spacing w:line="480" w:lineRule="auto"/>
        <w:rPr>
          <w:rFonts w:ascii="Times New Roman" w:hAnsi="Times New Roman" w:cs="Times New Roman"/>
          <w:sz w:val="24"/>
          <w:szCs w:val="24"/>
        </w:rPr>
      </w:pPr>
      <w:r w:rsidRPr="4BD824A5">
        <w:rPr>
          <w:rFonts w:ascii="Times New Roman" w:hAnsi="Times New Roman" w:cs="Times New Roman"/>
          <w:sz w:val="24"/>
          <w:szCs w:val="24"/>
        </w:rPr>
        <w:t xml:space="preserve">In this case, </w:t>
      </w:r>
      <w:r w:rsidR="002060E9" w:rsidRPr="4BD824A5">
        <w:rPr>
          <w:rFonts w:ascii="Times New Roman" w:hAnsi="Times New Roman" w:cs="Times New Roman"/>
          <w:sz w:val="24"/>
          <w:szCs w:val="24"/>
        </w:rPr>
        <w:t xml:space="preserve">when you combine the </w:t>
      </w:r>
      <w:proofErr w:type="gramStart"/>
      <w:r w:rsidR="00ED56C8">
        <w:rPr>
          <w:rFonts w:ascii="Times New Roman" w:hAnsi="Times New Roman" w:cs="Times New Roman"/>
          <w:sz w:val="24"/>
          <w:szCs w:val="24"/>
        </w:rPr>
        <w:t xml:space="preserve">{{ </w:t>
      </w:r>
      <w:proofErr w:type="spellStart"/>
      <w:r w:rsidR="00ED56C8">
        <w:rPr>
          <w:rFonts w:ascii="Times New Roman" w:hAnsi="Times New Roman" w:cs="Times New Roman"/>
          <w:sz w:val="24"/>
          <w:szCs w:val="24"/>
        </w:rPr>
        <w:t>comma</w:t>
      </w:r>
      <w:proofErr w:type="gramEnd"/>
      <w:r w:rsidR="00ED56C8">
        <w:rPr>
          <w:rFonts w:ascii="Times New Roman" w:hAnsi="Times New Roman" w:cs="Times New Roman"/>
          <w:sz w:val="24"/>
          <w:szCs w:val="24"/>
        </w:rPr>
        <w:t>_and_list</w:t>
      </w:r>
      <w:proofErr w:type="spellEnd"/>
      <w:r w:rsidR="00ED56C8">
        <w:rPr>
          <w:rFonts w:ascii="Times New Roman" w:hAnsi="Times New Roman" w:cs="Times New Roman"/>
          <w:sz w:val="24"/>
          <w:szCs w:val="24"/>
        </w:rPr>
        <w:t>(</w:t>
      </w:r>
      <w:proofErr w:type="spellStart"/>
      <w:r w:rsidR="00ED56C8">
        <w:rPr>
          <w:rFonts w:ascii="Times New Roman" w:hAnsi="Times New Roman" w:cs="Times New Roman"/>
          <w:sz w:val="24"/>
          <w:szCs w:val="24"/>
        </w:rPr>
        <w:t>applicable_exemptions</w:t>
      </w:r>
      <w:proofErr w:type="spellEnd"/>
      <w:r w:rsidR="00ED56C8">
        <w:rPr>
          <w:rFonts w:ascii="Times New Roman" w:hAnsi="Times New Roman" w:cs="Times New Roman"/>
          <w:sz w:val="24"/>
          <w:szCs w:val="24"/>
        </w:rPr>
        <w:t>) }}</w:t>
      </w:r>
      <w:r w:rsidR="002060E9" w:rsidRPr="4BD824A5">
        <w:rPr>
          <w:rFonts w:ascii="Times New Roman" w:hAnsi="Times New Roman" w:cs="Times New Roman"/>
          <w:sz w:val="24"/>
          <w:szCs w:val="24"/>
        </w:rPr>
        <w:t xml:space="preserve">, Defendant’s wages are fully exempt from </w:t>
      </w:r>
      <w:r w:rsidR="00163F45" w:rsidRPr="4BD824A5">
        <w:rPr>
          <w:rFonts w:ascii="Times New Roman" w:hAnsi="Times New Roman" w:cs="Times New Roman"/>
          <w:sz w:val="24"/>
          <w:szCs w:val="24"/>
        </w:rPr>
        <w:t>attachment</w:t>
      </w:r>
      <w:r w:rsidR="002060E9" w:rsidRPr="4BD824A5">
        <w:rPr>
          <w:rFonts w:ascii="Times New Roman" w:hAnsi="Times New Roman" w:cs="Times New Roman"/>
          <w:sz w:val="24"/>
          <w:szCs w:val="24"/>
        </w:rPr>
        <w:t xml:space="preserve">.  </w:t>
      </w:r>
      <w:r w:rsidRPr="4BD824A5">
        <w:rPr>
          <w:rFonts w:ascii="Times New Roman" w:hAnsi="Times New Roman" w:cs="Times New Roman"/>
          <w:sz w:val="24"/>
          <w:szCs w:val="24"/>
        </w:rPr>
        <w:t xml:space="preserve">Defendant earns </w:t>
      </w:r>
      <w:proofErr w:type="gramStart"/>
      <w:r w:rsidR="001857F3">
        <w:rPr>
          <w:rFonts w:ascii="Times New Roman" w:eastAsia="Times New Roman" w:hAnsi="Times New Roman" w:cs="Times New Roman"/>
          <w:sz w:val="24"/>
          <w:szCs w:val="24"/>
        </w:rPr>
        <w:t>{{ total</w:t>
      </w:r>
      <w:proofErr w:type="gramEnd"/>
      <w:r w:rsidR="001857F3">
        <w:rPr>
          <w:rFonts w:ascii="Times New Roman" w:eastAsia="Times New Roman" w:hAnsi="Times New Roman" w:cs="Times New Roman"/>
          <w:sz w:val="24"/>
          <w:szCs w:val="24"/>
        </w:rPr>
        <w:t>(jobs) }}</w:t>
      </w:r>
      <w:r w:rsidR="001857F3">
        <w:rPr>
          <w:rFonts w:ascii="Times New Roman" w:eastAsia="Times New Roman" w:hAnsi="Times New Roman" w:cs="Times New Roman"/>
          <w:sz w:val="24"/>
          <w:szCs w:val="24"/>
        </w:rPr>
        <w:t xml:space="preserve"> </w:t>
      </w:r>
      <w:r w:rsidRPr="4BD824A5">
        <w:rPr>
          <w:rFonts w:ascii="Times New Roman" w:hAnsi="Times New Roman" w:cs="Times New Roman"/>
          <w:sz w:val="24"/>
          <w:szCs w:val="24"/>
        </w:rPr>
        <w:t>a week</w:t>
      </w:r>
      <w:r w:rsidR="002060E9" w:rsidRPr="4BD824A5">
        <w:rPr>
          <w:rFonts w:ascii="Times New Roman" w:hAnsi="Times New Roman" w:cs="Times New Roman"/>
          <w:sz w:val="24"/>
          <w:szCs w:val="24"/>
        </w:rPr>
        <w:t xml:space="preserve">, slightly more than 50 times the Massachusetts hourly minimum wage for each week” ($637.50).  Thus, </w:t>
      </w:r>
      <w:r w:rsidR="001857F3">
        <w:rPr>
          <w:rFonts w:ascii="Times New Roman" w:hAnsi="Times New Roman" w:cs="Times New Roman"/>
          <w:sz w:val="24"/>
          <w:szCs w:val="24"/>
        </w:rPr>
        <w:t xml:space="preserve">only fifteen </w:t>
      </w:r>
      <w:r w:rsidR="002060E9" w:rsidRPr="4BD824A5">
        <w:rPr>
          <w:rFonts w:ascii="Times New Roman" w:hAnsi="Times New Roman" w:cs="Times New Roman"/>
          <w:sz w:val="24"/>
          <w:szCs w:val="24"/>
        </w:rPr>
        <w:t xml:space="preserve">percent of </w:t>
      </w:r>
      <w:proofErr w:type="gramStart"/>
      <w:r w:rsidR="001857F3">
        <w:rPr>
          <w:rFonts w:ascii="Times New Roman" w:hAnsi="Times New Roman" w:cs="Times New Roman"/>
          <w:sz w:val="24"/>
          <w:szCs w:val="24"/>
        </w:rPr>
        <w:t xml:space="preserve">{{ </w:t>
      </w:r>
      <w:proofErr w:type="spellStart"/>
      <w:r w:rsidR="001857F3">
        <w:rPr>
          <w:rFonts w:ascii="Times New Roman" w:hAnsi="Times New Roman" w:cs="Times New Roman"/>
          <w:sz w:val="24"/>
          <w:szCs w:val="24"/>
        </w:rPr>
        <w:t>user</w:t>
      </w:r>
      <w:proofErr w:type="gramEnd"/>
      <w:r w:rsidR="001857F3">
        <w:rPr>
          <w:rFonts w:ascii="Times New Roman" w:hAnsi="Times New Roman" w:cs="Times New Roman"/>
          <w:sz w:val="24"/>
          <w:szCs w:val="24"/>
        </w:rPr>
        <w:t>.pronoun_possessive</w:t>
      </w:r>
      <w:proofErr w:type="spellEnd"/>
      <w:r w:rsidR="001857F3">
        <w:rPr>
          <w:rFonts w:ascii="Times New Roman" w:hAnsi="Times New Roman" w:cs="Times New Roman"/>
          <w:sz w:val="24"/>
          <w:szCs w:val="24"/>
        </w:rPr>
        <w:t>(</w:t>
      </w:r>
      <w:r w:rsidR="002060E9" w:rsidRPr="4BD824A5">
        <w:rPr>
          <w:rFonts w:ascii="Times New Roman" w:hAnsi="Times New Roman" w:cs="Times New Roman"/>
          <w:sz w:val="24"/>
          <w:szCs w:val="24"/>
        </w:rPr>
        <w:t>gross wages</w:t>
      </w:r>
      <w:r w:rsidR="001857F3">
        <w:rPr>
          <w:rFonts w:ascii="Times New Roman" w:hAnsi="Times New Roman" w:cs="Times New Roman"/>
          <w:sz w:val="24"/>
          <w:szCs w:val="24"/>
        </w:rPr>
        <w:t>) }}</w:t>
      </w:r>
      <w:r w:rsidR="002060E9" w:rsidRPr="4BD824A5">
        <w:rPr>
          <w:rFonts w:ascii="Times New Roman" w:hAnsi="Times New Roman" w:cs="Times New Roman"/>
          <w:sz w:val="24"/>
          <w:szCs w:val="24"/>
        </w:rPr>
        <w:t xml:space="preserve"> or </w:t>
      </w:r>
      <w:r w:rsidR="001857F3">
        <w:rPr>
          <w:rFonts w:ascii="Times New Roman" w:hAnsi="Times New Roman" w:cs="Times New Roman"/>
          <w:sz w:val="24"/>
          <w:szCs w:val="24"/>
        </w:rPr>
        <w:t>{{</w:t>
      </w:r>
      <w:proofErr w:type="spellStart"/>
      <w:r w:rsidR="001857F3">
        <w:rPr>
          <w:rFonts w:ascii="Times New Roman" w:hAnsi="Times New Roman" w:cs="Times New Roman"/>
          <w:sz w:val="24"/>
          <w:szCs w:val="24"/>
        </w:rPr>
        <w:t>amount_not_exempt</w:t>
      </w:r>
      <w:proofErr w:type="spellEnd"/>
      <w:r w:rsidR="001857F3">
        <w:rPr>
          <w:rFonts w:ascii="Times New Roman" w:hAnsi="Times New Roman" w:cs="Times New Roman"/>
          <w:sz w:val="24"/>
          <w:szCs w:val="24"/>
        </w:rPr>
        <w:t>(total(jobs)) }}</w:t>
      </w:r>
      <w:r w:rsidR="002060E9">
        <w:t xml:space="preserve"> </w:t>
      </w:r>
      <w:r w:rsidR="002060E9" w:rsidRPr="4BD824A5">
        <w:rPr>
          <w:rFonts w:ascii="Times New Roman" w:hAnsi="Times New Roman" w:cs="Times New Roman"/>
          <w:sz w:val="24"/>
          <w:szCs w:val="24"/>
        </w:rPr>
        <w:t xml:space="preserve">is </w:t>
      </w:r>
      <w:r w:rsidR="001857F3">
        <w:rPr>
          <w:rFonts w:ascii="Times New Roman" w:hAnsi="Times New Roman" w:cs="Times New Roman"/>
          <w:sz w:val="24"/>
          <w:szCs w:val="24"/>
        </w:rPr>
        <w:t xml:space="preserve">not </w:t>
      </w:r>
      <w:r w:rsidR="002060E9" w:rsidRPr="4BD824A5">
        <w:rPr>
          <w:rFonts w:ascii="Times New Roman" w:hAnsi="Times New Roman" w:cs="Times New Roman"/>
          <w:sz w:val="24"/>
          <w:szCs w:val="24"/>
        </w:rPr>
        <w:t xml:space="preserve">exempt from collection under the wage </w:t>
      </w:r>
      <w:r w:rsidR="002060E9" w:rsidRPr="4BD824A5">
        <w:rPr>
          <w:rFonts w:ascii="Times New Roman" w:hAnsi="Times New Roman" w:cs="Times New Roman"/>
          <w:sz w:val="24"/>
          <w:szCs w:val="24"/>
        </w:rPr>
        <w:lastRenderedPageBreak/>
        <w:t xml:space="preserve">exemption.  </w:t>
      </w:r>
      <w:r w:rsidR="002060E9" w:rsidRPr="4BD824A5">
        <w:rPr>
          <w:rFonts w:ascii="Times New Roman" w:eastAsia="Times New Roman" w:hAnsi="Times New Roman" w:cs="Times New Roman"/>
          <w:sz w:val="24"/>
          <w:szCs w:val="24"/>
        </w:rPr>
        <w:t xml:space="preserve">In addition, Defendant is eligible for </w:t>
      </w:r>
      <w:r w:rsidR="001857F3">
        <w:rPr>
          <w:rFonts w:ascii="Times New Roman" w:eastAsia="Times New Roman" w:hAnsi="Times New Roman" w:cs="Times New Roman"/>
          <w:sz w:val="24"/>
          <w:szCs w:val="24"/>
        </w:rPr>
        <w:t>{{ length(</w:t>
      </w:r>
      <w:proofErr w:type="spellStart"/>
      <w:r w:rsidR="001857F3">
        <w:rPr>
          <w:rFonts w:ascii="Times New Roman" w:hAnsi="Times New Roman" w:cs="Times New Roman"/>
          <w:sz w:val="24"/>
          <w:szCs w:val="24"/>
        </w:rPr>
        <w:t>applicable_exemptions</w:t>
      </w:r>
      <w:proofErr w:type="spellEnd"/>
      <w:r w:rsidR="001857F3">
        <w:rPr>
          <w:rFonts w:ascii="Times New Roman" w:hAnsi="Times New Roman" w:cs="Times New Roman"/>
          <w:sz w:val="24"/>
          <w:szCs w:val="24"/>
        </w:rPr>
        <w:t>) }}</w:t>
      </w:r>
      <w:r w:rsidR="002060E9" w:rsidRPr="4BD824A5">
        <w:rPr>
          <w:rFonts w:ascii="Times New Roman" w:eastAsia="Times New Roman" w:hAnsi="Times New Roman" w:cs="Times New Roman"/>
          <w:sz w:val="24"/>
          <w:szCs w:val="24"/>
        </w:rPr>
        <w:t xml:space="preserve"> other exemptions under </w:t>
      </w:r>
      <w:r w:rsidR="002060E9" w:rsidRPr="4BD824A5">
        <w:rPr>
          <w:rFonts w:ascii="Times New Roman" w:hAnsi="Times New Roman" w:cs="Times New Roman"/>
          <w:sz w:val="24"/>
          <w:szCs w:val="24"/>
        </w:rPr>
        <w:t>G.L. c. 235, § 34</w:t>
      </w:r>
      <w:r w:rsidR="002060E9" w:rsidRPr="4BD824A5">
        <w:rPr>
          <w:rFonts w:ascii="Times New Roman" w:eastAsia="Times New Roman" w:hAnsi="Times New Roman" w:cs="Times New Roman"/>
          <w:sz w:val="24"/>
          <w:szCs w:val="24"/>
        </w:rPr>
        <w:t xml:space="preserve"> which render the other fifteen percent of </w:t>
      </w:r>
      <w:r w:rsidR="001857F3">
        <w:rPr>
          <w:rFonts w:ascii="Times New Roman" w:hAnsi="Times New Roman" w:cs="Times New Roman"/>
          <w:sz w:val="24"/>
          <w:szCs w:val="24"/>
        </w:rPr>
        <w:t xml:space="preserve">{{ </w:t>
      </w:r>
      <w:proofErr w:type="spellStart"/>
      <w:r w:rsidR="001857F3">
        <w:rPr>
          <w:rFonts w:ascii="Times New Roman" w:hAnsi="Times New Roman" w:cs="Times New Roman"/>
          <w:sz w:val="24"/>
          <w:szCs w:val="24"/>
        </w:rPr>
        <w:t>user.pronoun_possessive</w:t>
      </w:r>
      <w:proofErr w:type="spellEnd"/>
      <w:r w:rsidR="001857F3">
        <w:rPr>
          <w:rFonts w:ascii="Times New Roman" w:hAnsi="Times New Roman" w:cs="Times New Roman"/>
          <w:sz w:val="24"/>
          <w:szCs w:val="24"/>
        </w:rPr>
        <w:t>(</w:t>
      </w:r>
      <w:r w:rsidR="001857F3">
        <w:rPr>
          <w:rFonts w:ascii="Times New Roman" w:hAnsi="Times New Roman" w:cs="Times New Roman"/>
          <w:sz w:val="24"/>
          <w:szCs w:val="24"/>
        </w:rPr>
        <w:t>income</w:t>
      </w:r>
      <w:r w:rsidR="001857F3">
        <w:rPr>
          <w:rFonts w:ascii="Times New Roman" w:hAnsi="Times New Roman" w:cs="Times New Roman"/>
          <w:sz w:val="24"/>
          <w:szCs w:val="24"/>
        </w:rPr>
        <w:t>) }}</w:t>
      </w:r>
      <w:r w:rsidR="001857F3" w:rsidRPr="4BD824A5">
        <w:rPr>
          <w:rFonts w:ascii="Times New Roman" w:hAnsi="Times New Roman" w:cs="Times New Roman"/>
          <w:sz w:val="24"/>
          <w:szCs w:val="24"/>
        </w:rPr>
        <w:t xml:space="preserve"> </w:t>
      </w:r>
      <w:r w:rsidR="00163F45" w:rsidRPr="4BD824A5">
        <w:rPr>
          <w:rFonts w:ascii="Times New Roman" w:eastAsia="Times New Roman" w:hAnsi="Times New Roman" w:cs="Times New Roman"/>
          <w:sz w:val="24"/>
          <w:szCs w:val="24"/>
        </w:rPr>
        <w:t xml:space="preserve"> </w:t>
      </w:r>
      <w:r w:rsidR="002060E9" w:rsidRPr="4BD824A5">
        <w:rPr>
          <w:rFonts w:ascii="Times New Roman" w:eastAsia="Times New Roman" w:hAnsi="Times New Roman" w:cs="Times New Roman"/>
          <w:sz w:val="24"/>
          <w:szCs w:val="24"/>
        </w:rPr>
        <w:t xml:space="preserve">exempt from garnishment: </w:t>
      </w:r>
      <w:r w:rsidR="002060E9" w:rsidRPr="4BD824A5">
        <w:rPr>
          <w:rFonts w:ascii="Times New Roman" w:eastAsia="Calibri" w:hAnsi="Times New Roman" w:cs="Times New Roman"/>
          <w:sz w:val="24"/>
          <w:szCs w:val="24"/>
        </w:rPr>
        <w:t xml:space="preserve">a rental exemption of up to $2,500 a month and a utility exemption of up to $500 a month.  </w:t>
      </w:r>
    </w:p>
    <w:p w14:paraId="7AD46582" w14:textId="1E94B481" w:rsidR="00F175A5" w:rsidRPr="00ED56C8" w:rsidRDefault="002060E9" w:rsidP="00163F45">
      <w:pPr>
        <w:pStyle w:val="Body"/>
        <w:numPr>
          <w:ilvl w:val="0"/>
          <w:numId w:val="26"/>
        </w:numPr>
        <w:spacing w:line="480" w:lineRule="auto"/>
        <w:rPr>
          <w:rFonts w:ascii="Times New Roman" w:hAnsi="Times New Roman" w:cs="Times New Roman"/>
          <w:sz w:val="24"/>
          <w:szCs w:val="24"/>
        </w:rPr>
      </w:pPr>
      <w:r w:rsidRPr="4BD824A5">
        <w:rPr>
          <w:rFonts w:ascii="Times New Roman" w:hAnsi="Times New Roman" w:cs="Times New Roman"/>
          <w:sz w:val="24"/>
          <w:szCs w:val="24"/>
        </w:rPr>
        <w:t xml:space="preserve">Defendant pays </w:t>
      </w:r>
      <w:r w:rsidR="001857F3">
        <w:rPr>
          <w:rFonts w:ascii="Times New Roman" w:hAnsi="Times New Roman" w:cs="Times New Roman"/>
          <w:sz w:val="24"/>
          <w:szCs w:val="24"/>
        </w:rPr>
        <w:t xml:space="preserve">{{ </w:t>
      </w:r>
      <w:proofErr w:type="spellStart"/>
      <w:r w:rsidR="001857F3">
        <w:rPr>
          <w:rFonts w:ascii="Times New Roman" w:hAnsi="Times New Roman" w:cs="Times New Roman"/>
          <w:sz w:val="24"/>
          <w:szCs w:val="24"/>
        </w:rPr>
        <w:t>user.rent.amount</w:t>
      </w:r>
      <w:proofErr w:type="spellEnd"/>
      <w:r w:rsidR="007A360E">
        <w:rPr>
          <w:rFonts w:ascii="Times New Roman" w:hAnsi="Times New Roman" w:cs="Times New Roman"/>
          <w:sz w:val="24"/>
          <w:szCs w:val="24"/>
        </w:rPr>
        <w:t>(</w:t>
      </w:r>
      <w:proofErr w:type="spellStart"/>
      <w:r w:rsidR="007A360E">
        <w:rPr>
          <w:rFonts w:ascii="Times New Roman" w:hAnsi="Times New Roman" w:cs="Times New Roman"/>
          <w:sz w:val="24"/>
          <w:szCs w:val="24"/>
        </w:rPr>
        <w:t>period_to_use</w:t>
      </w:r>
      <w:proofErr w:type="spellEnd"/>
      <w:r w:rsidR="007A360E">
        <w:rPr>
          <w:rFonts w:ascii="Times New Roman" w:hAnsi="Times New Roman" w:cs="Times New Roman"/>
          <w:sz w:val="24"/>
          <w:szCs w:val="24"/>
        </w:rPr>
        <w:t>=12)</w:t>
      </w:r>
      <w:r w:rsidR="001857F3">
        <w:rPr>
          <w:rFonts w:ascii="Times New Roman" w:hAnsi="Times New Roman" w:cs="Times New Roman"/>
          <w:sz w:val="24"/>
          <w:szCs w:val="24"/>
        </w:rPr>
        <w:t xml:space="preserve"> }}</w:t>
      </w:r>
      <w:r w:rsidRPr="4BD824A5">
        <w:rPr>
          <w:rFonts w:ascii="Times New Roman" w:hAnsi="Times New Roman" w:cs="Times New Roman"/>
          <w:sz w:val="24"/>
          <w:szCs w:val="24"/>
        </w:rPr>
        <w:t xml:space="preserve"> a month in rent and </w:t>
      </w:r>
      <w:r w:rsidR="001857F3">
        <w:rPr>
          <w:rFonts w:ascii="Times New Roman" w:hAnsi="Times New Roman" w:cs="Times New Roman"/>
          <w:sz w:val="24"/>
          <w:szCs w:val="24"/>
        </w:rPr>
        <w:t xml:space="preserve">{{ </w:t>
      </w:r>
      <w:proofErr w:type="spellStart"/>
      <w:r w:rsidR="001857F3">
        <w:rPr>
          <w:rFonts w:ascii="Times New Roman" w:hAnsi="Times New Roman" w:cs="Times New Roman"/>
          <w:sz w:val="24"/>
          <w:szCs w:val="24"/>
        </w:rPr>
        <w:t>user.</w:t>
      </w:r>
      <w:r w:rsidR="001857F3">
        <w:rPr>
          <w:rFonts w:ascii="Times New Roman" w:hAnsi="Times New Roman" w:cs="Times New Roman"/>
          <w:sz w:val="24"/>
          <w:szCs w:val="24"/>
        </w:rPr>
        <w:t>utilities</w:t>
      </w:r>
      <w:r w:rsidR="001857F3">
        <w:rPr>
          <w:rFonts w:ascii="Times New Roman" w:hAnsi="Times New Roman" w:cs="Times New Roman"/>
          <w:sz w:val="24"/>
          <w:szCs w:val="24"/>
        </w:rPr>
        <w:t>.amount</w:t>
      </w:r>
      <w:proofErr w:type="spellEnd"/>
      <w:r w:rsidR="007A360E">
        <w:rPr>
          <w:rFonts w:ascii="Times New Roman" w:hAnsi="Times New Roman" w:cs="Times New Roman"/>
          <w:sz w:val="24"/>
          <w:szCs w:val="24"/>
        </w:rPr>
        <w:t>(</w:t>
      </w:r>
      <w:proofErr w:type="spellStart"/>
      <w:r w:rsidR="007A360E">
        <w:rPr>
          <w:rFonts w:ascii="Times New Roman" w:hAnsi="Times New Roman" w:cs="Times New Roman"/>
          <w:sz w:val="24"/>
          <w:szCs w:val="24"/>
        </w:rPr>
        <w:t>period_to_use</w:t>
      </w:r>
      <w:proofErr w:type="spellEnd"/>
      <w:r w:rsidR="007A360E">
        <w:rPr>
          <w:rFonts w:ascii="Times New Roman" w:hAnsi="Times New Roman" w:cs="Times New Roman"/>
          <w:sz w:val="24"/>
          <w:szCs w:val="24"/>
        </w:rPr>
        <w:t xml:space="preserve">=12) </w:t>
      </w:r>
      <w:r w:rsidR="001857F3">
        <w:rPr>
          <w:rFonts w:ascii="Times New Roman" w:hAnsi="Times New Roman" w:cs="Times New Roman"/>
          <w:sz w:val="24"/>
          <w:szCs w:val="24"/>
        </w:rPr>
        <w:t xml:space="preserve"> }}</w:t>
      </w:r>
      <w:r w:rsidR="001857F3" w:rsidRPr="4BD824A5">
        <w:rPr>
          <w:rFonts w:ascii="Times New Roman" w:hAnsi="Times New Roman" w:cs="Times New Roman"/>
          <w:sz w:val="24"/>
          <w:szCs w:val="24"/>
        </w:rPr>
        <w:t xml:space="preserve"> </w:t>
      </w:r>
      <w:r w:rsidRPr="4BD824A5">
        <w:rPr>
          <w:rFonts w:ascii="Times New Roman" w:hAnsi="Times New Roman" w:cs="Times New Roman"/>
          <w:sz w:val="24"/>
          <w:szCs w:val="24"/>
        </w:rPr>
        <w:t>a month in utilities, which</w:t>
      </w:r>
      <w:r w:rsidR="00661276" w:rsidRPr="4BD824A5">
        <w:rPr>
          <w:rFonts w:ascii="Times New Roman" w:hAnsi="Times New Roman" w:cs="Times New Roman"/>
          <w:sz w:val="24"/>
          <w:szCs w:val="24"/>
        </w:rPr>
        <w:t xml:space="preserve"> are </w:t>
      </w:r>
      <w:r w:rsidR="007A360E">
        <w:rPr>
          <w:rFonts w:ascii="Times New Roman" w:hAnsi="Times New Roman" w:cs="Times New Roman"/>
          <w:sz w:val="24"/>
          <w:szCs w:val="24"/>
        </w:rPr>
        <w:t>within</w:t>
      </w:r>
      <w:r w:rsidR="00661276" w:rsidRPr="4BD824A5">
        <w:rPr>
          <w:rFonts w:ascii="Times New Roman" w:hAnsi="Times New Roman" w:cs="Times New Roman"/>
          <w:sz w:val="24"/>
          <w:szCs w:val="24"/>
        </w:rPr>
        <w:t xml:space="preserve"> the amounts which may be exempted under G.L. c. 235, § 34.  In addition,</w:t>
      </w:r>
      <w:r w:rsidR="00163F45" w:rsidRPr="4BD824A5">
        <w:rPr>
          <w:rFonts w:ascii="Times New Roman" w:hAnsi="Times New Roman" w:cs="Times New Roman"/>
          <w:sz w:val="24"/>
          <w:szCs w:val="24"/>
        </w:rPr>
        <w:t xml:space="preserve"> they amount to </w:t>
      </w:r>
      <w:r w:rsidR="007A360E">
        <w:rPr>
          <w:rFonts w:ascii="Times New Roman" w:hAnsi="Times New Roman" w:cs="Times New Roman"/>
          <w:sz w:val="24"/>
          <w:szCs w:val="24"/>
        </w:rPr>
        <w:t xml:space="preserve">{{ </w:t>
      </w:r>
      <w:proofErr w:type="spellStart"/>
      <w:r w:rsidR="007A360E">
        <w:rPr>
          <w:rFonts w:ascii="Times New Roman" w:hAnsi="Times New Roman" w:cs="Times New Roman"/>
          <w:sz w:val="24"/>
          <w:szCs w:val="24"/>
        </w:rPr>
        <w:t>user.rent.amount</w:t>
      </w:r>
      <w:proofErr w:type="spellEnd"/>
      <w:r w:rsidR="007A360E">
        <w:rPr>
          <w:rFonts w:ascii="Times New Roman" w:hAnsi="Times New Roman" w:cs="Times New Roman"/>
          <w:sz w:val="24"/>
          <w:szCs w:val="24"/>
        </w:rPr>
        <w:t>(</w:t>
      </w:r>
      <w:proofErr w:type="spellStart"/>
      <w:r w:rsidR="007A360E">
        <w:rPr>
          <w:rFonts w:ascii="Times New Roman" w:hAnsi="Times New Roman" w:cs="Times New Roman"/>
          <w:sz w:val="24"/>
          <w:szCs w:val="24"/>
        </w:rPr>
        <w:t>period_to_use</w:t>
      </w:r>
      <w:proofErr w:type="spellEnd"/>
      <w:r w:rsidR="007A360E">
        <w:rPr>
          <w:rFonts w:ascii="Times New Roman" w:hAnsi="Times New Roman" w:cs="Times New Roman"/>
          <w:sz w:val="24"/>
          <w:szCs w:val="24"/>
        </w:rPr>
        <w:t>=</w:t>
      </w:r>
      <w:r w:rsidR="007A360E">
        <w:rPr>
          <w:rFonts w:ascii="Times New Roman" w:hAnsi="Times New Roman" w:cs="Times New Roman"/>
          <w:sz w:val="24"/>
          <w:szCs w:val="24"/>
        </w:rPr>
        <w:t>52</w:t>
      </w:r>
      <w:r w:rsidR="007A360E">
        <w:rPr>
          <w:rFonts w:ascii="Times New Roman" w:hAnsi="Times New Roman" w:cs="Times New Roman"/>
          <w:sz w:val="24"/>
          <w:szCs w:val="24"/>
        </w:rPr>
        <w:t>) }}</w:t>
      </w:r>
      <w:r w:rsidR="007A360E" w:rsidRPr="4BD824A5">
        <w:rPr>
          <w:rFonts w:ascii="Times New Roman" w:hAnsi="Times New Roman" w:cs="Times New Roman"/>
          <w:sz w:val="24"/>
          <w:szCs w:val="24"/>
        </w:rPr>
        <w:t xml:space="preserve"> </w:t>
      </w:r>
      <w:r w:rsidR="00163F45" w:rsidRPr="4BD824A5">
        <w:rPr>
          <w:rFonts w:ascii="Times New Roman" w:hAnsi="Times New Roman" w:cs="Times New Roman"/>
          <w:sz w:val="24"/>
          <w:szCs w:val="24"/>
        </w:rPr>
        <w:t xml:space="preserve">a week in rent and </w:t>
      </w:r>
      <w:r w:rsidR="007A360E">
        <w:rPr>
          <w:rFonts w:ascii="Times New Roman" w:hAnsi="Times New Roman" w:cs="Times New Roman"/>
          <w:sz w:val="24"/>
          <w:szCs w:val="24"/>
        </w:rPr>
        <w:t xml:space="preserve">{{ </w:t>
      </w:r>
      <w:proofErr w:type="spellStart"/>
      <w:r w:rsidR="007A360E">
        <w:rPr>
          <w:rFonts w:ascii="Times New Roman" w:hAnsi="Times New Roman" w:cs="Times New Roman"/>
          <w:sz w:val="24"/>
          <w:szCs w:val="24"/>
        </w:rPr>
        <w:t>user.</w:t>
      </w:r>
      <w:r w:rsidR="007A360E">
        <w:rPr>
          <w:rFonts w:ascii="Times New Roman" w:hAnsi="Times New Roman" w:cs="Times New Roman"/>
          <w:sz w:val="24"/>
          <w:szCs w:val="24"/>
        </w:rPr>
        <w:t>utilities</w:t>
      </w:r>
      <w:r w:rsidR="007A360E">
        <w:rPr>
          <w:rFonts w:ascii="Times New Roman" w:hAnsi="Times New Roman" w:cs="Times New Roman"/>
          <w:sz w:val="24"/>
          <w:szCs w:val="24"/>
        </w:rPr>
        <w:t>.amount</w:t>
      </w:r>
      <w:proofErr w:type="spellEnd"/>
      <w:r w:rsidR="007A360E">
        <w:rPr>
          <w:rFonts w:ascii="Times New Roman" w:hAnsi="Times New Roman" w:cs="Times New Roman"/>
          <w:sz w:val="24"/>
          <w:szCs w:val="24"/>
        </w:rPr>
        <w:t>(</w:t>
      </w:r>
      <w:proofErr w:type="spellStart"/>
      <w:r w:rsidR="007A360E">
        <w:rPr>
          <w:rFonts w:ascii="Times New Roman" w:hAnsi="Times New Roman" w:cs="Times New Roman"/>
          <w:sz w:val="24"/>
          <w:szCs w:val="24"/>
        </w:rPr>
        <w:t>period_to_use</w:t>
      </w:r>
      <w:proofErr w:type="spellEnd"/>
      <w:r w:rsidR="007A360E">
        <w:rPr>
          <w:rFonts w:ascii="Times New Roman" w:hAnsi="Times New Roman" w:cs="Times New Roman"/>
          <w:sz w:val="24"/>
          <w:szCs w:val="24"/>
        </w:rPr>
        <w:t>=</w:t>
      </w:r>
      <w:r w:rsidR="007A360E">
        <w:rPr>
          <w:rFonts w:ascii="Times New Roman" w:hAnsi="Times New Roman" w:cs="Times New Roman"/>
          <w:sz w:val="24"/>
          <w:szCs w:val="24"/>
        </w:rPr>
        <w:t>52</w:t>
      </w:r>
      <w:r w:rsidR="007A360E">
        <w:rPr>
          <w:rFonts w:ascii="Times New Roman" w:hAnsi="Times New Roman" w:cs="Times New Roman"/>
          <w:sz w:val="24"/>
          <w:szCs w:val="24"/>
        </w:rPr>
        <w:t>) }}</w:t>
      </w:r>
      <w:r w:rsidR="007A360E" w:rsidRPr="4BD824A5">
        <w:rPr>
          <w:rFonts w:ascii="Times New Roman" w:hAnsi="Times New Roman" w:cs="Times New Roman"/>
          <w:sz w:val="24"/>
          <w:szCs w:val="24"/>
        </w:rPr>
        <w:t xml:space="preserve"> </w:t>
      </w:r>
      <w:r w:rsidR="00163F45" w:rsidRPr="4BD824A5">
        <w:rPr>
          <w:rFonts w:ascii="Times New Roman" w:hAnsi="Times New Roman" w:cs="Times New Roman"/>
          <w:sz w:val="24"/>
          <w:szCs w:val="24"/>
        </w:rPr>
        <w:t xml:space="preserve">a week in utilities, for a total of </w:t>
      </w:r>
      <w:r w:rsidR="007A360E">
        <w:rPr>
          <w:rFonts w:ascii="Times New Roman" w:hAnsi="Times New Roman" w:cs="Times New Roman"/>
          <w:sz w:val="24"/>
          <w:szCs w:val="24"/>
        </w:rPr>
        <w:t>{{ sum(</w:t>
      </w:r>
      <w:proofErr w:type="spellStart"/>
      <w:r w:rsidR="00CC2808">
        <w:rPr>
          <w:rFonts w:ascii="Times New Roman" w:hAnsi="Times New Roman" w:cs="Times New Roman"/>
          <w:sz w:val="24"/>
          <w:szCs w:val="24"/>
        </w:rPr>
        <w:t>weekly_utilities</w:t>
      </w:r>
      <w:proofErr w:type="spellEnd"/>
      <w:r w:rsidR="00CC2808">
        <w:rPr>
          <w:rFonts w:ascii="Times New Roman" w:hAnsi="Times New Roman" w:cs="Times New Roman"/>
          <w:sz w:val="24"/>
          <w:szCs w:val="24"/>
        </w:rPr>
        <w:t>_</w:t>
      </w:r>
      <w:proofErr w:type="spellStart"/>
      <w:r w:rsidR="00CC2808">
        <w:rPr>
          <w:rFonts w:ascii="Times New Roman" w:hAnsi="Times New Roman" w:cs="Times New Roman"/>
          <w:sz w:val="24"/>
          <w:szCs w:val="24"/>
        </w:rPr>
        <w:t>and_rent</w:t>
      </w:r>
      <w:r w:rsidR="007A360E">
        <w:rPr>
          <w:rFonts w:ascii="Times New Roman" w:hAnsi="Times New Roman" w:cs="Times New Roman"/>
          <w:sz w:val="24"/>
          <w:szCs w:val="24"/>
        </w:rPr>
        <w:t>)</w:t>
      </w:r>
      <w:r w:rsidR="007A360E">
        <w:rPr>
          <w:rFonts w:ascii="Times New Roman" w:hAnsi="Times New Roman" w:cs="Times New Roman"/>
          <w:sz w:val="24"/>
          <w:szCs w:val="24"/>
        </w:rPr>
        <w:t>}}</w:t>
      </w:r>
      <w:r w:rsidR="00163F45" w:rsidRPr="4BD824A5">
        <w:rPr>
          <w:rFonts w:ascii="Times New Roman" w:hAnsi="Times New Roman" w:cs="Times New Roman"/>
          <w:sz w:val="24"/>
          <w:szCs w:val="24"/>
        </w:rPr>
        <w:t xml:space="preserve"> o</w:t>
      </w:r>
      <w:proofErr w:type="spellEnd"/>
      <w:r w:rsidR="00163F45" w:rsidRPr="4BD824A5">
        <w:rPr>
          <w:rFonts w:ascii="Times New Roman" w:hAnsi="Times New Roman" w:cs="Times New Roman"/>
          <w:sz w:val="24"/>
          <w:szCs w:val="24"/>
        </w:rPr>
        <w:t xml:space="preserve">r more than 15 percent of Defendant’s wages </w:t>
      </w:r>
      <w:r w:rsidR="007A360E">
        <w:rPr>
          <w:rFonts w:ascii="Times New Roman" w:hAnsi="Times New Roman" w:cs="Times New Roman"/>
          <w:sz w:val="24"/>
          <w:szCs w:val="24"/>
        </w:rPr>
        <w:t>(</w:t>
      </w:r>
      <w:r w:rsidR="007A360E">
        <w:rPr>
          <w:rFonts w:ascii="Times New Roman" w:hAnsi="Times New Roman" w:cs="Times New Roman"/>
          <w:sz w:val="24"/>
          <w:szCs w:val="24"/>
        </w:rPr>
        <w:t>{{</w:t>
      </w:r>
      <w:proofErr w:type="spellStart"/>
      <w:r w:rsidR="007A360E">
        <w:rPr>
          <w:rFonts w:ascii="Times New Roman" w:hAnsi="Times New Roman" w:cs="Times New Roman"/>
          <w:sz w:val="24"/>
          <w:szCs w:val="24"/>
        </w:rPr>
        <w:t>amount_not_exempt</w:t>
      </w:r>
      <w:proofErr w:type="spellEnd"/>
      <w:r w:rsidR="007A360E">
        <w:rPr>
          <w:rFonts w:ascii="Times New Roman" w:hAnsi="Times New Roman" w:cs="Times New Roman"/>
          <w:sz w:val="24"/>
          <w:szCs w:val="24"/>
        </w:rPr>
        <w:t>(total(jobs)) }}</w:t>
      </w:r>
      <w:r w:rsidR="007A360E">
        <w:t>).</w:t>
      </w:r>
      <w:r w:rsidRPr="4BD824A5">
        <w:rPr>
          <w:rFonts w:ascii="Times New Roman" w:eastAsia="Calibri" w:hAnsi="Times New Roman" w:cs="Times New Roman"/>
          <w:sz w:val="24"/>
          <w:szCs w:val="24"/>
        </w:rPr>
        <w:t xml:space="preserve">Thus, the entire 15% of </w:t>
      </w:r>
      <w:r w:rsidR="00163F45" w:rsidRPr="4BD824A5">
        <w:rPr>
          <w:rFonts w:ascii="Times New Roman" w:eastAsia="Calibri" w:hAnsi="Times New Roman" w:cs="Times New Roman"/>
          <w:sz w:val="24"/>
          <w:szCs w:val="24"/>
        </w:rPr>
        <w:t>Defendant’s</w:t>
      </w:r>
      <w:r w:rsidRPr="4BD824A5">
        <w:rPr>
          <w:rFonts w:ascii="Times New Roman" w:eastAsia="Calibri" w:hAnsi="Times New Roman" w:cs="Times New Roman"/>
          <w:sz w:val="24"/>
          <w:szCs w:val="24"/>
        </w:rPr>
        <w:t xml:space="preserve"> income which was outside of the wage exemption should </w:t>
      </w:r>
      <w:r w:rsidR="00163F45" w:rsidRPr="4BD824A5">
        <w:rPr>
          <w:rFonts w:ascii="Times New Roman" w:eastAsia="Calibri" w:hAnsi="Times New Roman" w:cs="Times New Roman"/>
          <w:sz w:val="24"/>
          <w:szCs w:val="24"/>
        </w:rPr>
        <w:t>be</w:t>
      </w:r>
      <w:r w:rsidRPr="4BD824A5">
        <w:rPr>
          <w:rFonts w:ascii="Times New Roman" w:eastAsia="Calibri" w:hAnsi="Times New Roman" w:cs="Times New Roman"/>
          <w:sz w:val="24"/>
          <w:szCs w:val="24"/>
        </w:rPr>
        <w:t xml:space="preserve"> exempted under the rent </w:t>
      </w:r>
      <w:r w:rsidR="00163F45" w:rsidRPr="4BD824A5">
        <w:rPr>
          <w:rFonts w:ascii="Times New Roman" w:eastAsia="Calibri" w:hAnsi="Times New Roman" w:cs="Times New Roman"/>
          <w:sz w:val="24"/>
          <w:szCs w:val="24"/>
        </w:rPr>
        <w:t xml:space="preserve">and utilities </w:t>
      </w:r>
      <w:r w:rsidRPr="4BD824A5">
        <w:rPr>
          <w:rFonts w:ascii="Times New Roman" w:eastAsia="Calibri" w:hAnsi="Times New Roman" w:cs="Times New Roman"/>
          <w:sz w:val="24"/>
          <w:szCs w:val="24"/>
        </w:rPr>
        <w:t>exemption</w:t>
      </w:r>
      <w:r w:rsidR="00163F45" w:rsidRPr="4BD824A5">
        <w:rPr>
          <w:rFonts w:ascii="Times New Roman" w:eastAsia="Calibri" w:hAnsi="Times New Roman" w:cs="Times New Roman"/>
          <w:sz w:val="24"/>
          <w:szCs w:val="24"/>
        </w:rPr>
        <w:t>s</w:t>
      </w:r>
      <w:r w:rsidRPr="4BD824A5">
        <w:rPr>
          <w:rFonts w:ascii="Times New Roman" w:eastAsia="Calibri" w:hAnsi="Times New Roman" w:cs="Times New Roman"/>
          <w:sz w:val="24"/>
          <w:szCs w:val="24"/>
        </w:rPr>
        <w:t xml:space="preserve">.  </w:t>
      </w:r>
    </w:p>
    <w:p w14:paraId="5DA54681" w14:textId="06D3B548" w:rsidR="00ED56C8" w:rsidRDefault="00ED56C8" w:rsidP="00ED56C8">
      <w:pPr>
        <w:pStyle w:val="Body"/>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 </w:t>
      </w:r>
      <w:proofErr w:type="gramStart"/>
      <w:r>
        <w:rPr>
          <w:rFonts w:ascii="Times New Roman" w:eastAsia="Calibri" w:hAnsi="Times New Roman" w:cs="Times New Roman"/>
          <w:sz w:val="24"/>
          <w:szCs w:val="24"/>
        </w:rPr>
        <w:t>endif  %</w:t>
      </w:r>
      <w:proofErr w:type="gramEnd"/>
      <w:r>
        <w:rPr>
          <w:rFonts w:ascii="Times New Roman" w:eastAsia="Calibri" w:hAnsi="Times New Roman" w:cs="Times New Roman"/>
          <w:sz w:val="24"/>
          <w:szCs w:val="24"/>
        </w:rPr>
        <w:t>}</w:t>
      </w:r>
    </w:p>
    <w:p w14:paraId="4E755892" w14:textId="3E6C6EC4" w:rsidR="00CC2808" w:rsidRPr="00CC2808" w:rsidRDefault="00CC2808" w:rsidP="00ED56C8">
      <w:pPr>
        <w:pStyle w:val="Body"/>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{%p if “failure to prove right to collect on the judgment” in defenses %}</w:t>
      </w:r>
    </w:p>
    <w:p w14:paraId="6803EB40" w14:textId="29A7008E" w:rsidR="003F0DB7" w:rsidRPr="003F0DB7" w:rsidRDefault="003F0DB7" w:rsidP="003F0DB7">
      <w:pPr>
        <w:pStyle w:val="Body"/>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Failure to Prove Right to Collect on the Judgment</w:t>
      </w:r>
      <w:r w:rsidR="00B0165F">
        <w:rPr>
          <w:rFonts w:ascii="Times New Roman" w:eastAsia="Times New Roman" w:hAnsi="Times New Roman" w:cs="Times New Roman"/>
          <w:b/>
          <w:bCs/>
          <w:sz w:val="24"/>
          <w:szCs w:val="24"/>
        </w:rPr>
        <w:t xml:space="preserve"> (if Plaintiff is a post-judgment assignee) </w:t>
      </w:r>
    </w:p>
    <w:p w14:paraId="63F90B0D" w14:textId="001EA676" w:rsidR="00BC219E" w:rsidRDefault="00CC2808" w:rsidP="4BD824A5">
      <w:pPr>
        <w:pStyle w:val="Body"/>
        <w:numPr>
          <w:ilvl w:val="0"/>
          <w:numId w:val="26"/>
        </w:numPr>
        <w:spacing w:line="480" w:lineRule="auto"/>
        <w:rPr>
          <w:rFonts w:ascii="Times New Roman" w:hAnsi="Times New Roman" w:cs="Times New Roman"/>
          <w:sz w:val="24"/>
          <w:szCs w:val="24"/>
        </w:rPr>
      </w:pPr>
      <w:r>
        <w:rPr>
          <w:rFonts w:ascii="Times New Roman" w:hAnsi="Times New Roman" w:cs="Times New Roman"/>
          <w:sz w:val="24"/>
          <w:szCs w:val="24"/>
        </w:rPr>
        <w:t xml:space="preserve">{%p if length(defenses) &gt; 1) </w:t>
      </w:r>
      <w:proofErr w:type="gramStart"/>
      <w:r>
        <w:rPr>
          <w:rFonts w:ascii="Times New Roman" w:hAnsi="Times New Roman" w:cs="Times New Roman"/>
          <w:sz w:val="24"/>
          <w:szCs w:val="24"/>
        </w:rPr>
        <w:t>%}</w:t>
      </w:r>
      <w:r w:rsidR="5F50B8B7" w:rsidRPr="00CC2808">
        <w:rPr>
          <w:rFonts w:ascii="Times New Roman" w:hAnsi="Times New Roman" w:cs="Times New Roman"/>
          <w:sz w:val="24"/>
          <w:szCs w:val="24"/>
        </w:rPr>
        <w:t>Furthermore</w:t>
      </w:r>
      <w:proofErr w:type="gramEnd"/>
      <w:r w:rsidR="5F50B8B7" w:rsidRPr="4BD824A5">
        <w:rPr>
          <w:rFonts w:ascii="Times New Roman" w:hAnsi="Times New Roman" w:cs="Times New Roman"/>
          <w:sz w:val="24"/>
          <w:szCs w:val="24"/>
        </w:rPr>
        <w:t xml:space="preserve">, </w:t>
      </w:r>
      <w:r>
        <w:rPr>
          <w:rFonts w:ascii="Times New Roman" w:hAnsi="Times New Roman" w:cs="Times New Roman"/>
          <w:sz w:val="24"/>
          <w:szCs w:val="24"/>
        </w:rPr>
        <w:t>{%p endif %}</w:t>
      </w:r>
      <w:r w:rsidR="00404060" w:rsidRPr="4BD824A5">
        <w:rPr>
          <w:rFonts w:ascii="Times New Roman" w:hAnsi="Times New Roman" w:cs="Times New Roman"/>
          <w:sz w:val="24"/>
          <w:szCs w:val="24"/>
        </w:rPr>
        <w:t>Plaintiff, a purported post-judgment assignee, has failed to demonstrate that it has a right to collect on the judgment</w:t>
      </w:r>
      <w:r w:rsidR="00B42AF1" w:rsidRPr="4BD824A5">
        <w:rPr>
          <w:rFonts w:ascii="Times New Roman" w:hAnsi="Times New Roman" w:cs="Times New Roman"/>
          <w:sz w:val="24"/>
          <w:szCs w:val="24"/>
        </w:rPr>
        <w:t xml:space="preserve">.  It is axiomatic that as an alleged assignee, Plaintiff must prove not only that the debt is valid, but also that the Plaintiff has a valid debt assignment.  </w:t>
      </w:r>
      <w:r w:rsidR="00B42AF1" w:rsidRPr="4BD824A5">
        <w:rPr>
          <w:rFonts w:ascii="Times New Roman" w:hAnsi="Times New Roman" w:cs="Times New Roman"/>
          <w:i/>
          <w:iCs/>
          <w:sz w:val="24"/>
          <w:szCs w:val="24"/>
        </w:rPr>
        <w:t>Norfolk</w:t>
      </w:r>
      <w:r w:rsidR="00B42AF1" w:rsidRPr="4BD824A5">
        <w:rPr>
          <w:rFonts w:ascii="Times New Roman" w:hAnsi="Times New Roman" w:cs="Times New Roman"/>
          <w:sz w:val="24"/>
          <w:szCs w:val="24"/>
        </w:rPr>
        <w:t xml:space="preserve"> </w:t>
      </w:r>
      <w:r w:rsidR="00B42AF1" w:rsidRPr="4BD824A5">
        <w:rPr>
          <w:rFonts w:ascii="Times New Roman" w:hAnsi="Times New Roman" w:cs="Times New Roman"/>
          <w:i/>
          <w:iCs/>
          <w:sz w:val="24"/>
          <w:szCs w:val="24"/>
        </w:rPr>
        <w:t xml:space="preserve">Fin. Corp. v. </w:t>
      </w:r>
      <w:proofErr w:type="spellStart"/>
      <w:r w:rsidR="00B42AF1" w:rsidRPr="4BD824A5">
        <w:rPr>
          <w:rFonts w:ascii="Times New Roman" w:hAnsi="Times New Roman" w:cs="Times New Roman"/>
          <w:i/>
          <w:iCs/>
          <w:sz w:val="24"/>
          <w:szCs w:val="24"/>
        </w:rPr>
        <w:t>Mazard</w:t>
      </w:r>
      <w:proofErr w:type="spellEnd"/>
      <w:r w:rsidR="00B42AF1" w:rsidRPr="4BD824A5">
        <w:rPr>
          <w:rFonts w:ascii="Times New Roman" w:hAnsi="Times New Roman" w:cs="Times New Roman"/>
          <w:i/>
          <w:iCs/>
          <w:sz w:val="24"/>
          <w:szCs w:val="24"/>
        </w:rPr>
        <w:t xml:space="preserve">, </w:t>
      </w:r>
      <w:r w:rsidR="00B42AF1" w:rsidRPr="4BD824A5">
        <w:rPr>
          <w:rFonts w:ascii="Times New Roman" w:hAnsi="Times New Roman" w:cs="Times New Roman"/>
          <w:sz w:val="24"/>
          <w:szCs w:val="24"/>
        </w:rPr>
        <w:t xml:space="preserve">2009 Mass. App. Div. 255, 258 (2009).  Plaintiff only submitted a generic bill of sale to the Court without any information concerning Defendant or the Judgment.  However, a plaintiff cannot solely rely on generic bills of sale to prove its assignment to a </w:t>
      </w:r>
      <w:r w:rsidR="00B42AF1" w:rsidRPr="4BD824A5">
        <w:rPr>
          <w:rFonts w:ascii="Times New Roman" w:hAnsi="Times New Roman" w:cs="Times New Roman"/>
          <w:sz w:val="24"/>
          <w:szCs w:val="24"/>
        </w:rPr>
        <w:lastRenderedPageBreak/>
        <w:t xml:space="preserve">specific account, and the Bill of Sale must be accompanied by evidence that a </w:t>
      </w:r>
      <w:proofErr w:type="gramStart"/>
      <w:r w:rsidR="00B42AF1" w:rsidRPr="4BD824A5">
        <w:rPr>
          <w:rFonts w:ascii="Times New Roman" w:hAnsi="Times New Roman" w:cs="Times New Roman"/>
          <w:sz w:val="24"/>
          <w:szCs w:val="24"/>
        </w:rPr>
        <w:t>particular account</w:t>
      </w:r>
      <w:proofErr w:type="gramEnd"/>
      <w:r w:rsidR="00B42AF1" w:rsidRPr="4BD824A5">
        <w:rPr>
          <w:rFonts w:ascii="Times New Roman" w:hAnsi="Times New Roman" w:cs="Times New Roman"/>
          <w:sz w:val="24"/>
          <w:szCs w:val="24"/>
        </w:rPr>
        <w:t xml:space="preserve"> was listed as one of the accounts assigned in the attachment to the bill of sale.  </w:t>
      </w:r>
      <w:proofErr w:type="spellStart"/>
      <w:r w:rsidR="00B42AF1" w:rsidRPr="4BD824A5">
        <w:rPr>
          <w:rFonts w:ascii="Times New Roman" w:hAnsi="Times New Roman" w:cs="Times New Roman"/>
          <w:i/>
          <w:iCs/>
          <w:sz w:val="24"/>
          <w:szCs w:val="24"/>
        </w:rPr>
        <w:t>Kimhow</w:t>
      </w:r>
      <w:proofErr w:type="spellEnd"/>
      <w:r w:rsidR="00B42AF1" w:rsidRPr="4BD824A5">
        <w:rPr>
          <w:rFonts w:ascii="Times New Roman" w:hAnsi="Times New Roman" w:cs="Times New Roman"/>
          <w:i/>
          <w:iCs/>
          <w:sz w:val="24"/>
          <w:szCs w:val="24"/>
        </w:rPr>
        <w:t xml:space="preserve"> v. </w:t>
      </w:r>
      <w:proofErr w:type="spellStart"/>
      <w:r w:rsidR="00B42AF1" w:rsidRPr="4BD824A5">
        <w:rPr>
          <w:rFonts w:ascii="Times New Roman" w:hAnsi="Times New Roman" w:cs="Times New Roman"/>
          <w:i/>
          <w:iCs/>
          <w:sz w:val="24"/>
          <w:szCs w:val="24"/>
        </w:rPr>
        <w:t>Rawji</w:t>
      </w:r>
      <w:proofErr w:type="spellEnd"/>
      <w:r w:rsidR="00B42AF1" w:rsidRPr="4BD824A5">
        <w:rPr>
          <w:rFonts w:ascii="Times New Roman" w:hAnsi="Times New Roman" w:cs="Times New Roman"/>
          <w:sz w:val="24"/>
          <w:szCs w:val="24"/>
        </w:rPr>
        <w:t>, 2012 Mass. App. Div. 48, 49 (201</w:t>
      </w:r>
      <w:r w:rsidR="3FBE0D26" w:rsidRPr="4BD824A5">
        <w:rPr>
          <w:rFonts w:ascii="Times New Roman" w:hAnsi="Times New Roman" w:cs="Times New Roman"/>
          <w:sz w:val="24"/>
          <w:szCs w:val="24"/>
        </w:rPr>
        <w:t>2</w:t>
      </w:r>
      <w:r w:rsidR="00B42AF1" w:rsidRPr="4BD824A5">
        <w:rPr>
          <w:rFonts w:ascii="Times New Roman" w:hAnsi="Times New Roman" w:cs="Times New Roman"/>
          <w:sz w:val="24"/>
          <w:szCs w:val="24"/>
        </w:rPr>
        <w:t xml:space="preserve">); </w:t>
      </w:r>
      <w:r w:rsidR="00B42AF1" w:rsidRPr="4BD824A5">
        <w:rPr>
          <w:rFonts w:ascii="Times New Roman" w:hAnsi="Times New Roman" w:cs="Times New Roman"/>
          <w:i/>
          <w:iCs/>
          <w:sz w:val="24"/>
          <w:szCs w:val="24"/>
        </w:rPr>
        <w:t xml:space="preserve">see also </w:t>
      </w:r>
      <w:proofErr w:type="spellStart"/>
      <w:r w:rsidR="00B42AF1" w:rsidRPr="4BD824A5">
        <w:rPr>
          <w:rFonts w:ascii="Times New Roman" w:hAnsi="Times New Roman" w:cs="Times New Roman"/>
          <w:i/>
          <w:iCs/>
          <w:sz w:val="24"/>
          <w:szCs w:val="24"/>
        </w:rPr>
        <w:t>Mazard</w:t>
      </w:r>
      <w:proofErr w:type="spellEnd"/>
      <w:r w:rsidR="00B42AF1" w:rsidRPr="4BD824A5">
        <w:rPr>
          <w:rFonts w:ascii="Times New Roman" w:hAnsi="Times New Roman" w:cs="Times New Roman"/>
          <w:sz w:val="24"/>
          <w:szCs w:val="24"/>
        </w:rPr>
        <w:t xml:space="preserve">, 2009 Mass. App. Div. at 258 (rejecting generic bills of sales without identification of the relevant account and without any schedule of accounts included).  Thus, the Court should vacate the order, as it was inappropriate to allow trustee process without proof that Plaintiff indeed owns the right to collect on the Judgment.  </w:t>
      </w:r>
    </w:p>
    <w:p w14:paraId="148214AE" w14:textId="32E4AF98" w:rsidR="00CC2808" w:rsidRDefault="00CC2808" w:rsidP="00CC2808">
      <w:pPr>
        <w:pStyle w:val="Body"/>
        <w:spacing w:line="480" w:lineRule="auto"/>
        <w:ind w:left="360"/>
        <w:rPr>
          <w:rFonts w:ascii="Times New Roman" w:eastAsia="Calibri" w:hAnsi="Times New Roman" w:cs="Times New Roman"/>
          <w:sz w:val="24"/>
          <w:szCs w:val="24"/>
        </w:rPr>
      </w:pPr>
      <w:r>
        <w:rPr>
          <w:rFonts w:ascii="Times New Roman" w:eastAsia="Calibri" w:hAnsi="Times New Roman" w:cs="Times New Roman"/>
          <w:sz w:val="24"/>
          <w:szCs w:val="24"/>
        </w:rPr>
        <w:t xml:space="preserve">{%p </w:t>
      </w:r>
      <w:proofErr w:type="gramStart"/>
      <w:r>
        <w:rPr>
          <w:rFonts w:ascii="Times New Roman" w:eastAsia="Calibri" w:hAnsi="Times New Roman" w:cs="Times New Roman"/>
          <w:sz w:val="24"/>
          <w:szCs w:val="24"/>
        </w:rPr>
        <w:t>endif  %</w:t>
      </w:r>
      <w:proofErr w:type="gramEnd"/>
      <w:r>
        <w:rPr>
          <w:rFonts w:ascii="Times New Roman" w:eastAsia="Calibri" w:hAnsi="Times New Roman" w:cs="Times New Roman"/>
          <w:sz w:val="24"/>
          <w:szCs w:val="24"/>
        </w:rPr>
        <w:t>}</w:t>
      </w:r>
    </w:p>
    <w:p w14:paraId="0A3132F0" w14:textId="74431C6B" w:rsidR="00CC2808" w:rsidRPr="00CC2808" w:rsidRDefault="00CC2808" w:rsidP="00CC2808">
      <w:pPr>
        <w:pStyle w:val="Body"/>
        <w:spacing w:line="480" w:lineRule="auto"/>
        <w:ind w:left="360"/>
        <w:rPr>
          <w:rFonts w:ascii="Times New Roman" w:eastAsia="Calibri" w:hAnsi="Times New Roman" w:cs="Times New Roman"/>
          <w:sz w:val="24"/>
          <w:szCs w:val="24"/>
        </w:rPr>
      </w:pPr>
      <w:r>
        <w:rPr>
          <w:rFonts w:ascii="Times New Roman" w:eastAsia="Calibri" w:hAnsi="Times New Roman" w:cs="Times New Roman"/>
          <w:sz w:val="24"/>
          <w:szCs w:val="24"/>
        </w:rPr>
        <w:t>{%p if “noncompliance with rule” in defenses %}</w:t>
      </w:r>
    </w:p>
    <w:p w14:paraId="13738499" w14:textId="77777777" w:rsidR="00BC219E" w:rsidRDefault="00BC219E" w:rsidP="00BC219E">
      <w:pPr>
        <w:pStyle w:val="Body"/>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Noncompliance with Rule 8.1 </w:t>
      </w:r>
    </w:p>
    <w:p w14:paraId="33CED63B" w14:textId="77777777" w:rsidR="00BC219E" w:rsidRPr="00BC219E" w:rsidRDefault="00BC219E" w:rsidP="00BC219E">
      <w:pPr>
        <w:pStyle w:val="Body"/>
        <w:numPr>
          <w:ilvl w:val="0"/>
          <w:numId w:val="26"/>
        </w:numPr>
        <w:spacing w:line="480" w:lineRule="auto"/>
        <w:jc w:val="both"/>
        <w:rPr>
          <w:rFonts w:ascii="Times New Roman" w:eastAsia="Times New Roman" w:hAnsi="Times New Roman" w:cs="Times New Roman"/>
          <w:b/>
          <w:bCs/>
          <w:sz w:val="24"/>
          <w:szCs w:val="24"/>
        </w:rPr>
      </w:pPr>
      <w:r w:rsidRPr="4BD824A5">
        <w:rPr>
          <w:rFonts w:ascii="Times New Roman" w:hAnsi="Times New Roman" w:cs="Times New Roman"/>
          <w:sz w:val="24"/>
          <w:szCs w:val="24"/>
        </w:rPr>
        <w:t xml:space="preserve">The Court should dismiss this action because Plaintiff has failed to comply with Mass. R. Civ. P. 8.1.  Rule 8.1 requires that in any action “where the plaintiff seeks to collect a debt incurred pursuant to a revolving credit </w:t>
      </w:r>
      <w:proofErr w:type="gramStart"/>
      <w:r w:rsidRPr="4BD824A5">
        <w:rPr>
          <w:rFonts w:ascii="Times New Roman" w:hAnsi="Times New Roman" w:cs="Times New Roman"/>
          <w:sz w:val="24"/>
          <w:szCs w:val="24"/>
        </w:rPr>
        <w:t>agreement[</w:t>
      </w:r>
      <w:proofErr w:type="gramEnd"/>
      <w:r w:rsidRPr="4BD824A5">
        <w:rPr>
          <w:rFonts w:ascii="Times New Roman" w:hAnsi="Times New Roman" w:cs="Times New Roman"/>
          <w:sz w:val="24"/>
          <w:szCs w:val="24"/>
        </w:rPr>
        <w:t xml:space="preserve">,]” the plaintiff must file other documents simultaneously with its complaint.  Specifically, Plaintiff must file: (1) an affidavit disclosing certain information regarding the debt; (2) an affidavit providing documentation concerning establishing the existence, amount, and terms and conditions applicable to the debt; (3) an affidavit regarding address verification; and (4) a statute of limitations certification.  Mass. R. Civ. P. 8.1(c)–(f).  </w:t>
      </w:r>
    </w:p>
    <w:p w14:paraId="317B9D73" w14:textId="7D23A213" w:rsidR="00BC219E" w:rsidRPr="00CC2808" w:rsidRDefault="00BC219E" w:rsidP="4BD824A5">
      <w:pPr>
        <w:pStyle w:val="Body"/>
        <w:numPr>
          <w:ilvl w:val="0"/>
          <w:numId w:val="26"/>
        </w:numPr>
        <w:spacing w:line="480" w:lineRule="auto"/>
        <w:jc w:val="both"/>
        <w:rPr>
          <w:rFonts w:ascii="Times New Roman" w:eastAsia="Times New Roman" w:hAnsi="Times New Roman" w:cs="Times New Roman"/>
          <w:b/>
          <w:bCs/>
          <w:sz w:val="24"/>
          <w:szCs w:val="24"/>
        </w:rPr>
      </w:pPr>
      <w:r w:rsidRPr="4BD824A5">
        <w:rPr>
          <w:rFonts w:ascii="Times New Roman" w:hAnsi="Times New Roman" w:cs="Times New Roman"/>
          <w:sz w:val="24"/>
          <w:szCs w:val="24"/>
        </w:rPr>
        <w:t xml:space="preserve">Despite the fact that this is clearly an action “where the plaintiff seeks to collect a debt incurred pursuant to a revolving credit </w:t>
      </w:r>
      <w:proofErr w:type="gramStart"/>
      <w:r w:rsidRPr="4BD824A5">
        <w:rPr>
          <w:rFonts w:ascii="Times New Roman" w:hAnsi="Times New Roman" w:cs="Times New Roman"/>
          <w:sz w:val="24"/>
          <w:szCs w:val="24"/>
        </w:rPr>
        <w:t>agreement[</w:t>
      </w:r>
      <w:proofErr w:type="gramEnd"/>
      <w:r w:rsidRPr="4BD824A5">
        <w:rPr>
          <w:rFonts w:ascii="Times New Roman" w:hAnsi="Times New Roman" w:cs="Times New Roman"/>
          <w:sz w:val="24"/>
          <w:szCs w:val="24"/>
        </w:rPr>
        <w:t xml:space="preserve">,]” Plaintiff has not complied with any portion of Rule 8.1.  In fact, it did not include </w:t>
      </w:r>
      <w:proofErr w:type="gramStart"/>
      <w:r w:rsidRPr="4BD824A5">
        <w:rPr>
          <w:rFonts w:ascii="Times New Roman" w:hAnsi="Times New Roman" w:cs="Times New Roman"/>
          <w:sz w:val="24"/>
          <w:szCs w:val="24"/>
        </w:rPr>
        <w:t>a single one</w:t>
      </w:r>
      <w:proofErr w:type="gramEnd"/>
      <w:r w:rsidRPr="4BD824A5">
        <w:rPr>
          <w:rFonts w:ascii="Times New Roman" w:hAnsi="Times New Roman" w:cs="Times New Roman"/>
          <w:sz w:val="24"/>
          <w:szCs w:val="24"/>
        </w:rPr>
        <w:t xml:space="preserve"> of the affidavits required by the rule.  While Plaintiff may try to argue that because this is a trustee process action rather than an original collection action, this is a distinction without significance.  The rule does </w:t>
      </w:r>
      <w:r w:rsidRPr="4BD824A5">
        <w:rPr>
          <w:rFonts w:ascii="Times New Roman" w:hAnsi="Times New Roman" w:cs="Times New Roman"/>
          <w:sz w:val="24"/>
          <w:szCs w:val="24"/>
        </w:rPr>
        <w:lastRenderedPageBreak/>
        <w:t xml:space="preserve">not in any way distinguish between types of collection actions and </w:t>
      </w:r>
      <w:proofErr w:type="gramStart"/>
      <w:r w:rsidRPr="4BD824A5">
        <w:rPr>
          <w:rFonts w:ascii="Times New Roman" w:hAnsi="Times New Roman" w:cs="Times New Roman"/>
          <w:sz w:val="24"/>
          <w:szCs w:val="24"/>
        </w:rPr>
        <w:t>it is plain that a</w:t>
      </w:r>
      <w:proofErr w:type="gramEnd"/>
      <w:r w:rsidRPr="4BD824A5">
        <w:rPr>
          <w:rFonts w:ascii="Times New Roman" w:hAnsi="Times New Roman" w:cs="Times New Roman"/>
          <w:sz w:val="24"/>
          <w:szCs w:val="24"/>
        </w:rPr>
        <w:t xml:space="preserve"> trustee process action where the underlying judgment is based on a revolving agreement is also an action to collect a debt incurred pursuant to a revolving credit agreement.  In fact, in a recent decision, the Boston Municipal Court dismissed a trustee process case based on the plaintiff’s non-compliance with Rule 8.1.  </w:t>
      </w:r>
      <w:r w:rsidRPr="4BD824A5">
        <w:rPr>
          <w:rFonts w:ascii="Times New Roman" w:hAnsi="Times New Roman" w:cs="Times New Roman"/>
          <w:i/>
          <w:iCs/>
          <w:sz w:val="24"/>
          <w:szCs w:val="24"/>
        </w:rPr>
        <w:t>See LVNV Funding v. Gillis</w:t>
      </w:r>
      <w:r w:rsidRPr="4BD824A5">
        <w:rPr>
          <w:rFonts w:ascii="Times New Roman" w:hAnsi="Times New Roman" w:cs="Times New Roman"/>
          <w:sz w:val="24"/>
          <w:szCs w:val="24"/>
        </w:rPr>
        <w:t xml:space="preserve">, 1901CV000020 (BMC Central Feb. 2, 2012), Order on Motion and Docket Sheet attached hereto as Exhibit A.  </w:t>
      </w:r>
    </w:p>
    <w:p w14:paraId="38E1B5DE" w14:textId="77777777" w:rsidR="00CC2808" w:rsidRDefault="00CC2808" w:rsidP="00CC2808">
      <w:pPr>
        <w:pStyle w:val="Body"/>
        <w:spacing w:line="480" w:lineRule="auto"/>
        <w:ind w:left="360"/>
        <w:rPr>
          <w:rFonts w:ascii="Times New Roman" w:eastAsia="Calibri" w:hAnsi="Times New Roman" w:cs="Times New Roman"/>
          <w:sz w:val="24"/>
          <w:szCs w:val="24"/>
        </w:rPr>
      </w:pPr>
      <w:r>
        <w:rPr>
          <w:rFonts w:ascii="Times New Roman" w:eastAsia="Calibri" w:hAnsi="Times New Roman" w:cs="Times New Roman"/>
          <w:sz w:val="24"/>
          <w:szCs w:val="24"/>
        </w:rPr>
        <w:t xml:space="preserve">{%p </w:t>
      </w:r>
      <w:proofErr w:type="gramStart"/>
      <w:r>
        <w:rPr>
          <w:rFonts w:ascii="Times New Roman" w:eastAsia="Calibri" w:hAnsi="Times New Roman" w:cs="Times New Roman"/>
          <w:sz w:val="24"/>
          <w:szCs w:val="24"/>
        </w:rPr>
        <w:t>endif  %</w:t>
      </w:r>
      <w:proofErr w:type="gramEnd"/>
      <w:r>
        <w:rPr>
          <w:rFonts w:ascii="Times New Roman" w:eastAsia="Calibri" w:hAnsi="Times New Roman" w:cs="Times New Roman"/>
          <w:sz w:val="24"/>
          <w:szCs w:val="24"/>
        </w:rPr>
        <w:t>}</w:t>
      </w:r>
    </w:p>
    <w:p w14:paraId="5B0DBB92" w14:textId="77777777" w:rsidR="00CC2808" w:rsidRPr="003F0DB7" w:rsidRDefault="00CC2808" w:rsidP="00CC2808">
      <w:pPr>
        <w:pStyle w:val="Body"/>
        <w:spacing w:line="480" w:lineRule="auto"/>
        <w:jc w:val="both"/>
        <w:rPr>
          <w:rFonts w:ascii="Times New Roman" w:eastAsia="Times New Roman" w:hAnsi="Times New Roman" w:cs="Times New Roman"/>
          <w:b/>
          <w:bCs/>
          <w:sz w:val="24"/>
          <w:szCs w:val="24"/>
        </w:rPr>
      </w:pPr>
    </w:p>
    <w:p w14:paraId="5CA18B87" w14:textId="5706CDE1" w:rsidR="769CE998" w:rsidRDefault="769CE998" w:rsidP="4BD824A5">
      <w:pPr>
        <w:spacing w:line="480" w:lineRule="exact"/>
        <w:jc w:val="center"/>
      </w:pPr>
      <w:r w:rsidRPr="4BD824A5">
        <w:rPr>
          <w:b/>
          <w:bCs/>
          <w:color w:val="000000" w:themeColor="text1"/>
        </w:rPr>
        <w:t>CONCLUSION</w:t>
      </w:r>
    </w:p>
    <w:p w14:paraId="4CE96DE5" w14:textId="777CD52B" w:rsidR="769CE998" w:rsidRDefault="769CE998" w:rsidP="4BD824A5">
      <w:pPr>
        <w:spacing w:line="480" w:lineRule="exact"/>
        <w:ind w:firstLine="720"/>
        <w:rPr>
          <w:color w:val="000000" w:themeColor="text1"/>
        </w:rPr>
      </w:pPr>
      <w:r w:rsidRPr="4BD824A5">
        <w:rPr>
          <w:color w:val="000000" w:themeColor="text1"/>
        </w:rPr>
        <w:t xml:space="preserve">Thus, </w:t>
      </w:r>
      <w:r w:rsidR="174F3DC6" w:rsidRPr="4BD824A5">
        <w:rPr>
          <w:color w:val="000000" w:themeColor="text1"/>
        </w:rPr>
        <w:t>Defendant</w:t>
      </w:r>
      <w:r w:rsidRPr="4BD824A5">
        <w:rPr>
          <w:color w:val="000000" w:themeColor="text1"/>
        </w:rPr>
        <w:t xml:space="preserve"> requests that the Court vacate</w:t>
      </w:r>
      <w:r w:rsidR="31FD5ED1" w:rsidRPr="4BD824A5">
        <w:rPr>
          <w:color w:val="000000" w:themeColor="text1"/>
        </w:rPr>
        <w:t xml:space="preserve"> and dissolve</w:t>
      </w:r>
      <w:r w:rsidRPr="4BD824A5">
        <w:rPr>
          <w:color w:val="000000" w:themeColor="text1"/>
        </w:rPr>
        <w:t xml:space="preserve"> its order allowing attachment of </w:t>
      </w:r>
      <w:proofErr w:type="gramStart"/>
      <w:r w:rsidR="00CC2808">
        <w:rPr>
          <w:color w:val="000000" w:themeColor="text1"/>
        </w:rPr>
        <w:t xml:space="preserve">{{ </w:t>
      </w:r>
      <w:proofErr w:type="spellStart"/>
      <w:r w:rsidR="00CC2808">
        <w:rPr>
          <w:color w:val="000000" w:themeColor="text1"/>
        </w:rPr>
        <w:t>user</w:t>
      </w:r>
      <w:proofErr w:type="gramEnd"/>
      <w:r w:rsidR="00CC2808">
        <w:rPr>
          <w:color w:val="000000" w:themeColor="text1"/>
        </w:rPr>
        <w:t>.pronoun_possessive</w:t>
      </w:r>
      <w:proofErr w:type="spellEnd"/>
      <w:r w:rsidR="00CC2808">
        <w:rPr>
          <w:color w:val="000000" w:themeColor="text1"/>
        </w:rPr>
        <w:t>(wages) }}</w:t>
      </w:r>
      <w:r w:rsidRPr="4BD824A5">
        <w:rPr>
          <w:color w:val="000000" w:themeColor="text1"/>
        </w:rPr>
        <w:t xml:space="preserve"> or in the alternative stay the garnishment order without a hearing.  In the alternative, should the Court require a hearing, </w:t>
      </w:r>
      <w:proofErr w:type="gramStart"/>
      <w:r w:rsidR="00CC2808">
        <w:rPr>
          <w:color w:val="000000" w:themeColor="text1"/>
        </w:rPr>
        <w:t xml:space="preserve">{{ </w:t>
      </w:r>
      <w:proofErr w:type="spellStart"/>
      <w:r w:rsidR="00CC2808">
        <w:rPr>
          <w:color w:val="000000" w:themeColor="text1"/>
        </w:rPr>
        <w:t>user</w:t>
      </w:r>
      <w:proofErr w:type="gramEnd"/>
      <w:r w:rsidR="00CC2808">
        <w:rPr>
          <w:color w:val="000000" w:themeColor="text1"/>
        </w:rPr>
        <w:t>.pronoun_subjective</w:t>
      </w:r>
      <w:proofErr w:type="spellEnd"/>
      <w:r w:rsidR="00CC2808">
        <w:rPr>
          <w:color w:val="000000" w:themeColor="text1"/>
        </w:rPr>
        <w:t>() }}</w:t>
      </w:r>
      <w:r w:rsidRPr="4BD824A5">
        <w:rPr>
          <w:color w:val="000000" w:themeColor="text1"/>
        </w:rPr>
        <w:t xml:space="preserve"> requests that the Court hold a phone or videoconference hearing as soon possible consistent with </w:t>
      </w:r>
      <w:r w:rsidRPr="00CC2808">
        <w:rPr>
          <w:color w:val="000000" w:themeColor="text1"/>
        </w:rPr>
        <w:t>Standing Court</w:t>
      </w:r>
      <w:r w:rsidRPr="4BD824A5">
        <w:rPr>
          <w:color w:val="000000" w:themeColor="text1"/>
        </w:rPr>
        <w:t xml:space="preserve"> Order 4-20, which permits consideration of non-emergency matters. </w:t>
      </w:r>
    </w:p>
    <w:p w14:paraId="2628FC5F" w14:textId="4DEDC813" w:rsidR="769CE998" w:rsidRDefault="769CE998" w:rsidP="4BD824A5">
      <w:pPr>
        <w:spacing w:line="480" w:lineRule="exact"/>
        <w:ind w:firstLine="720"/>
        <w:jc w:val="both"/>
      </w:pPr>
      <w:r w:rsidRPr="4BD824A5">
        <w:rPr>
          <w:color w:val="000000" w:themeColor="text1"/>
        </w:rPr>
        <w:t>WHEREFORE, Defendant respectfully requests that the Court</w:t>
      </w:r>
    </w:p>
    <w:p w14:paraId="7CEC8CA7" w14:textId="5290081C" w:rsidR="769CE998" w:rsidRDefault="769CE998" w:rsidP="4BD824A5">
      <w:pPr>
        <w:spacing w:line="480" w:lineRule="exact"/>
        <w:ind w:left="360" w:hanging="360"/>
        <w:rPr>
          <w:color w:val="000000" w:themeColor="text1"/>
        </w:rPr>
      </w:pPr>
      <w:r w:rsidRPr="4BD824A5">
        <w:rPr>
          <w:color w:val="000000" w:themeColor="text1"/>
        </w:rPr>
        <w:t>1.</w:t>
      </w:r>
      <w:r w:rsidRPr="4BD824A5">
        <w:rPr>
          <w:color w:val="000000" w:themeColor="text1"/>
          <w:sz w:val="14"/>
          <w:szCs w:val="14"/>
        </w:rPr>
        <w:t xml:space="preserve">     </w:t>
      </w:r>
      <w:r w:rsidRPr="4BD824A5">
        <w:rPr>
          <w:color w:val="000000" w:themeColor="text1"/>
        </w:rPr>
        <w:t xml:space="preserve">Vacate or in the alternative stay the order allowing attachment of </w:t>
      </w:r>
      <w:proofErr w:type="gramStart"/>
      <w:r w:rsidR="00CC2808">
        <w:rPr>
          <w:color w:val="000000" w:themeColor="text1"/>
        </w:rPr>
        <w:t xml:space="preserve">{{ </w:t>
      </w:r>
      <w:proofErr w:type="spellStart"/>
      <w:r w:rsidR="00CC2808">
        <w:rPr>
          <w:color w:val="000000" w:themeColor="text1"/>
        </w:rPr>
        <w:t>user</w:t>
      </w:r>
      <w:proofErr w:type="gramEnd"/>
      <w:r w:rsidR="00CC2808">
        <w:rPr>
          <w:color w:val="000000" w:themeColor="text1"/>
        </w:rPr>
        <w:t>.pronoun_possessive</w:t>
      </w:r>
      <w:proofErr w:type="spellEnd"/>
      <w:r w:rsidR="00CC2808">
        <w:rPr>
          <w:color w:val="000000" w:themeColor="text1"/>
        </w:rPr>
        <w:t>(wages) }}</w:t>
      </w:r>
      <w:r w:rsidR="00CC2808" w:rsidRPr="4BD824A5">
        <w:rPr>
          <w:color w:val="000000" w:themeColor="text1"/>
        </w:rPr>
        <w:t xml:space="preserve"> </w:t>
      </w:r>
      <w:r w:rsidRPr="4BD824A5">
        <w:rPr>
          <w:color w:val="000000" w:themeColor="text1"/>
        </w:rPr>
        <w:t>without hearing;</w:t>
      </w:r>
    </w:p>
    <w:p w14:paraId="14472830" w14:textId="7A93F282" w:rsidR="769CE998" w:rsidRDefault="769CE998" w:rsidP="4BD824A5">
      <w:pPr>
        <w:spacing w:line="480" w:lineRule="exact"/>
        <w:ind w:left="360" w:hanging="360"/>
        <w:rPr>
          <w:color w:val="000000" w:themeColor="text1"/>
        </w:rPr>
      </w:pPr>
      <w:r w:rsidRPr="4BD824A5">
        <w:rPr>
          <w:color w:val="000000" w:themeColor="text1"/>
        </w:rPr>
        <w:t>2.</w:t>
      </w:r>
      <w:r w:rsidRPr="4BD824A5">
        <w:rPr>
          <w:color w:val="000000" w:themeColor="text1"/>
          <w:sz w:val="14"/>
          <w:szCs w:val="14"/>
        </w:rPr>
        <w:t xml:space="preserve">     </w:t>
      </w:r>
      <w:r w:rsidRPr="4BD824A5">
        <w:rPr>
          <w:color w:val="000000" w:themeColor="text1"/>
        </w:rPr>
        <w:t>If deemed necessary, schedule this matter for a phone or videoconference hearing consistent with Standing Court Order 4-20; and</w:t>
      </w:r>
    </w:p>
    <w:p w14:paraId="575D31A7" w14:textId="27F666D7" w:rsidR="00460CE0" w:rsidRPr="0002428D" w:rsidRDefault="769CE998" w:rsidP="00CC2808">
      <w:pPr>
        <w:spacing w:line="480" w:lineRule="exact"/>
        <w:ind w:left="360" w:hanging="360"/>
      </w:pPr>
      <w:r w:rsidRPr="4BD824A5">
        <w:rPr>
          <w:color w:val="000000" w:themeColor="text1"/>
        </w:rPr>
        <w:t>3.</w:t>
      </w:r>
      <w:r w:rsidRPr="4BD824A5">
        <w:rPr>
          <w:color w:val="000000" w:themeColor="text1"/>
          <w:sz w:val="14"/>
          <w:szCs w:val="14"/>
        </w:rPr>
        <w:t xml:space="preserve">     </w:t>
      </w:r>
      <w:r w:rsidRPr="4BD824A5">
        <w:rPr>
          <w:color w:val="000000" w:themeColor="text1"/>
        </w:rPr>
        <w:t>Grant such other relief this Honorable Court shall deem just.</w:t>
      </w:r>
    </w:p>
    <w:p w14:paraId="2D46A976" w14:textId="77777777" w:rsidR="00460CE0" w:rsidRPr="0002428D" w:rsidRDefault="00460CE0" w:rsidP="00460CE0">
      <w:pPr>
        <w:pStyle w:val="Body"/>
        <w:ind w:left="720"/>
        <w:jc w:val="both"/>
        <w:rPr>
          <w:rFonts w:ascii="Times New Roman" w:eastAsia="Times New Roman" w:hAnsi="Times New Roman" w:cs="Times New Roman"/>
          <w:sz w:val="24"/>
          <w:szCs w:val="24"/>
        </w:rPr>
      </w:pPr>
    </w:p>
    <w:p w14:paraId="0ADFECE3" w14:textId="77777777" w:rsidR="00460CE0" w:rsidRPr="0002428D" w:rsidRDefault="00460CE0" w:rsidP="00460CE0">
      <w:pPr>
        <w:pStyle w:val="Body"/>
        <w:ind w:left="720"/>
        <w:jc w:val="both"/>
        <w:rPr>
          <w:rFonts w:ascii="Times New Roman" w:eastAsia="Times New Roman" w:hAnsi="Times New Roman" w:cs="Times New Roman"/>
          <w:sz w:val="24"/>
          <w:szCs w:val="24"/>
        </w:rPr>
      </w:pPr>
    </w:p>
    <w:p w14:paraId="5A40B32D" w14:textId="77777777" w:rsidR="00CC2808" w:rsidRPr="00CC2808" w:rsidRDefault="00CC2808" w:rsidP="00CC2808">
      <w:pPr>
        <w:pBdr>
          <w:top w:val="nil"/>
          <w:left w:val="nil"/>
          <w:bottom w:val="nil"/>
          <w:right w:val="nil"/>
          <w:between w:val="nil"/>
          <w:bar w:val="nil"/>
        </w:pBdr>
        <w:spacing w:line="276" w:lineRule="auto"/>
        <w:ind w:left="720"/>
        <w:jc w:val="both"/>
        <w:rPr>
          <w:color w:val="000000"/>
          <w:u w:color="000000"/>
          <w:bdr w:val="nil"/>
        </w:rPr>
      </w:pPr>
    </w:p>
    <w:p w14:paraId="7F269B36" w14:textId="77777777" w:rsidR="00CC2808" w:rsidRPr="00CC2808" w:rsidRDefault="00CC2808" w:rsidP="00CC2808">
      <w:pPr>
        <w:pBdr>
          <w:top w:val="nil"/>
          <w:left w:val="nil"/>
          <w:bottom w:val="nil"/>
          <w:right w:val="nil"/>
          <w:between w:val="nil"/>
          <w:bar w:val="nil"/>
        </w:pBdr>
        <w:spacing w:line="276" w:lineRule="auto"/>
        <w:ind w:left="4320"/>
        <w:jc w:val="both"/>
        <w:rPr>
          <w:color w:val="000000"/>
          <w:u w:color="000000"/>
          <w:bdr w:val="nil"/>
        </w:rPr>
      </w:pPr>
      <w:r w:rsidRPr="00CC2808">
        <w:rPr>
          <w:color w:val="000000"/>
          <w:u w:color="000000"/>
          <w:bdr w:val="nil"/>
        </w:rPr>
        <w:t>Respectfully Submitted,</w:t>
      </w:r>
    </w:p>
    <w:p w14:paraId="071D6CF8" w14:textId="77777777" w:rsidR="00CC2808" w:rsidRPr="00CC2808" w:rsidRDefault="00CC2808" w:rsidP="00CC2808">
      <w:pPr>
        <w:pBdr>
          <w:top w:val="nil"/>
          <w:left w:val="nil"/>
          <w:bottom w:val="nil"/>
          <w:right w:val="nil"/>
          <w:between w:val="nil"/>
          <w:bar w:val="nil"/>
        </w:pBdr>
        <w:spacing w:line="276" w:lineRule="auto"/>
        <w:ind w:left="4320"/>
        <w:jc w:val="both"/>
        <w:rPr>
          <w:color w:val="000000"/>
          <w:u w:color="000000"/>
          <w:bdr w:val="nil"/>
        </w:rPr>
      </w:pPr>
    </w:p>
    <w:p w14:paraId="0EEA0D6F" w14:textId="77777777" w:rsidR="00CC2808" w:rsidRPr="00CC2808" w:rsidRDefault="00CC2808" w:rsidP="00CC2808">
      <w:pPr>
        <w:ind w:left="3600" w:firstLine="720"/>
        <w:rPr>
          <w:rFonts w:eastAsiaTheme="minorHAnsi"/>
        </w:rPr>
      </w:pPr>
      <w:r w:rsidRPr="00CC2808">
        <w:rPr>
          <w:rFonts w:eastAsiaTheme="minorHAnsi"/>
        </w:rPr>
        <w:t>DEFENDANT</w:t>
      </w:r>
    </w:p>
    <w:p w14:paraId="44121CA9" w14:textId="77777777" w:rsidR="00CC2808" w:rsidRPr="00CC2808" w:rsidRDefault="00CC2808" w:rsidP="00CC2808">
      <w:pPr>
        <w:ind w:left="3600" w:firstLine="720"/>
        <w:rPr>
          <w:rFonts w:eastAsiaTheme="minorHAnsi"/>
        </w:rPr>
      </w:pPr>
    </w:p>
    <w:p w14:paraId="05E26839" w14:textId="77777777" w:rsidR="00CC2808" w:rsidRPr="00CC2808" w:rsidRDefault="00CC2808" w:rsidP="00CC2808">
      <w:pPr>
        <w:ind w:firstLine="720"/>
        <w:rPr>
          <w:rFonts w:eastAsiaTheme="minorHAnsi"/>
        </w:rPr>
      </w:pPr>
      <w:r w:rsidRPr="00CC2808">
        <w:rPr>
          <w:rFonts w:eastAsiaTheme="minorHAnsi"/>
        </w:rPr>
        <w:lastRenderedPageBreak/>
        <w:tab/>
      </w:r>
      <w:r w:rsidRPr="00CC2808">
        <w:rPr>
          <w:rFonts w:eastAsiaTheme="minorHAnsi"/>
        </w:rPr>
        <w:tab/>
      </w:r>
      <w:r w:rsidRPr="00CC2808">
        <w:rPr>
          <w:rFonts w:eastAsiaTheme="minorHAnsi"/>
        </w:rPr>
        <w:tab/>
      </w:r>
      <w:r w:rsidRPr="00CC2808">
        <w:rPr>
          <w:rFonts w:eastAsiaTheme="minorHAnsi"/>
        </w:rPr>
        <w:tab/>
      </w:r>
      <w:r w:rsidRPr="00CC2808">
        <w:rPr>
          <w:rFonts w:eastAsiaTheme="minorHAnsi"/>
        </w:rPr>
        <w:tab/>
      </w:r>
      <w:proofErr w:type="gramStart"/>
      <w:r w:rsidRPr="00CC2808">
        <w:rPr>
          <w:rFonts w:eastAsiaTheme="minorHAnsi"/>
        </w:rPr>
        <w:t xml:space="preserve">{{ </w:t>
      </w:r>
      <w:proofErr w:type="spellStart"/>
      <w:r w:rsidRPr="00CC2808">
        <w:rPr>
          <w:rFonts w:eastAsiaTheme="minorHAnsi"/>
        </w:rPr>
        <w:t>user</w:t>
      </w:r>
      <w:proofErr w:type="gramEnd"/>
      <w:r w:rsidRPr="00CC2808">
        <w:rPr>
          <w:rFonts w:eastAsiaTheme="minorHAnsi"/>
        </w:rPr>
        <w:t>.signature</w:t>
      </w:r>
      <w:proofErr w:type="spellEnd"/>
      <w:r w:rsidRPr="00CC2808">
        <w:rPr>
          <w:rFonts w:eastAsiaTheme="minorHAnsi"/>
        </w:rPr>
        <w:t xml:space="preserve"> }}</w:t>
      </w:r>
    </w:p>
    <w:p w14:paraId="59C50A9A" w14:textId="77777777" w:rsidR="00CC2808" w:rsidRPr="00CC2808" w:rsidRDefault="00CC2808" w:rsidP="00CC2808">
      <w:pPr>
        <w:ind w:firstLine="720"/>
        <w:rPr>
          <w:rFonts w:eastAsiaTheme="minorHAnsi"/>
        </w:rPr>
      </w:pPr>
    </w:p>
    <w:p w14:paraId="7734A31D" w14:textId="77777777" w:rsidR="00CC2808" w:rsidRPr="00CC2808" w:rsidRDefault="00CC2808" w:rsidP="00CC2808">
      <w:pPr>
        <w:ind w:firstLine="720"/>
        <w:rPr>
          <w:rFonts w:eastAsiaTheme="minorHAnsi"/>
        </w:rPr>
      </w:pPr>
      <w:r w:rsidRPr="00CC2808">
        <w:rPr>
          <w:rFonts w:eastAsiaTheme="minorHAnsi"/>
        </w:rPr>
        <w:tab/>
      </w:r>
      <w:r w:rsidRPr="00CC2808">
        <w:rPr>
          <w:rFonts w:eastAsiaTheme="minorHAnsi"/>
        </w:rPr>
        <w:tab/>
      </w:r>
      <w:r w:rsidRPr="00CC2808">
        <w:rPr>
          <w:rFonts w:eastAsiaTheme="minorHAnsi"/>
        </w:rPr>
        <w:tab/>
      </w:r>
      <w:r w:rsidRPr="00CC2808">
        <w:rPr>
          <w:rFonts w:eastAsiaTheme="minorHAnsi"/>
        </w:rPr>
        <w:tab/>
      </w:r>
      <w:r w:rsidRPr="00CC2808">
        <w:rPr>
          <w:rFonts w:eastAsiaTheme="minorHAnsi"/>
        </w:rPr>
        <w:tab/>
        <w:t>_______________________</w:t>
      </w:r>
    </w:p>
    <w:p w14:paraId="39628253" w14:textId="77777777" w:rsidR="00CC2808" w:rsidRPr="00CC2808" w:rsidRDefault="00CC2808" w:rsidP="00CC2808">
      <w:pPr>
        <w:tabs>
          <w:tab w:val="left" w:pos="2262"/>
          <w:tab w:val="left" w:pos="4230"/>
          <w:tab w:val="right" w:leader="underscore" w:pos="4320"/>
        </w:tabs>
        <w:ind w:left="4230"/>
        <w:rPr>
          <w:noProof/>
        </w:rPr>
      </w:pPr>
      <w:r w:rsidRPr="00CC2808">
        <w:rPr>
          <w:noProof/>
        </w:rPr>
        <w:tab/>
      </w:r>
    </w:p>
    <w:p w14:paraId="132E8E7C" w14:textId="77777777" w:rsidR="00CC2808" w:rsidRPr="00CC2808" w:rsidRDefault="00CC2808" w:rsidP="00CC2808">
      <w:pPr>
        <w:tabs>
          <w:tab w:val="left" w:pos="2262"/>
          <w:tab w:val="left" w:pos="4230"/>
          <w:tab w:val="right" w:leader="underscore" w:pos="4320"/>
        </w:tabs>
        <w:ind w:left="4230"/>
      </w:pPr>
      <w:r w:rsidRPr="00CC2808">
        <w:rPr>
          <w:noProof/>
        </w:rPr>
        <w:t>{{ user.name.full() }}</w:t>
      </w:r>
      <w:r w:rsidRPr="00CC2808">
        <w:rPr>
          <w:caps/>
          <w:noProof/>
        </w:rPr>
        <w:br/>
      </w:r>
      <w:proofErr w:type="gramStart"/>
      <w:r w:rsidRPr="00CC2808">
        <w:t xml:space="preserve">{{ </w:t>
      </w:r>
      <w:proofErr w:type="spellStart"/>
      <w:r w:rsidRPr="00CC2808">
        <w:t>user</w:t>
      </w:r>
      <w:proofErr w:type="gramEnd"/>
      <w:r w:rsidRPr="00CC2808">
        <w:t>.address.address</w:t>
      </w:r>
      <w:proofErr w:type="spellEnd"/>
      <w:r w:rsidRPr="00CC2808">
        <w:t xml:space="preserve"> }}</w:t>
      </w:r>
    </w:p>
    <w:p w14:paraId="7C1CE6D6" w14:textId="77777777" w:rsidR="00CC2808" w:rsidRPr="00CC2808" w:rsidRDefault="00CC2808" w:rsidP="00CC2808">
      <w:pPr>
        <w:tabs>
          <w:tab w:val="left" w:pos="2262"/>
          <w:tab w:val="left" w:pos="4230"/>
          <w:tab w:val="right" w:leader="underscore" w:pos="4320"/>
        </w:tabs>
        <w:rPr>
          <w:caps/>
          <w:noProof/>
        </w:rPr>
      </w:pPr>
      <w:r w:rsidRPr="00CC2808">
        <w:tab/>
      </w:r>
      <w:r w:rsidRPr="00CC2808">
        <w:tab/>
      </w:r>
      <w:proofErr w:type="gramStart"/>
      <w:r w:rsidRPr="00CC2808">
        <w:t xml:space="preserve">{{ </w:t>
      </w:r>
      <w:proofErr w:type="spellStart"/>
      <w:r w:rsidRPr="00CC2808">
        <w:t>user</w:t>
      </w:r>
      <w:proofErr w:type="gramEnd"/>
      <w:r w:rsidRPr="00CC2808">
        <w:t>.address.city</w:t>
      </w:r>
      <w:proofErr w:type="spellEnd"/>
      <w:r w:rsidRPr="00CC2808">
        <w:t xml:space="preserve"> }}, {{ </w:t>
      </w:r>
      <w:proofErr w:type="spellStart"/>
      <w:r w:rsidRPr="00CC2808">
        <w:t>user.address.state</w:t>
      </w:r>
      <w:proofErr w:type="spellEnd"/>
      <w:r w:rsidRPr="00CC2808">
        <w:t xml:space="preserve"> }} {{ client.address.zip }}</w:t>
      </w:r>
    </w:p>
    <w:p w14:paraId="7BD09DFE" w14:textId="77777777" w:rsidR="00CC2808" w:rsidRPr="00CC2808" w:rsidRDefault="00CC2808" w:rsidP="00CC2808">
      <w:pPr>
        <w:tabs>
          <w:tab w:val="left" w:pos="2262"/>
          <w:tab w:val="left" w:pos="4230"/>
          <w:tab w:val="right" w:leader="underscore" w:pos="4320"/>
        </w:tabs>
      </w:pPr>
      <w:r w:rsidRPr="00CC2808">
        <w:tab/>
      </w:r>
      <w:r w:rsidRPr="00CC2808">
        <w:tab/>
      </w:r>
      <w:sdt>
        <w:sdtPr>
          <w:alias w:val="AuthorDirectNo"/>
          <w:tag w:val="iMergeField-AuthorDirectNo"/>
          <w:id w:val="-1392728848"/>
          <w:placeholder>
            <w:docPart w:val="089F166BD5BB4718A7BE7EC65EC5ED66"/>
          </w:placeholder>
          <w:text w:multiLine="1"/>
        </w:sdtPr>
        <w:sdtContent>
          <w:proofErr w:type="gramStart"/>
          <w:r w:rsidRPr="00CC2808">
            <w:t xml:space="preserve">{{ </w:t>
          </w:r>
          <w:proofErr w:type="spellStart"/>
          <w:r w:rsidRPr="00CC2808">
            <w:t>user</w:t>
          </w:r>
          <w:proofErr w:type="gramEnd"/>
          <w:r w:rsidRPr="00CC2808">
            <w:t>.phone_number</w:t>
          </w:r>
          <w:proofErr w:type="spellEnd"/>
          <w:r w:rsidRPr="00CC2808">
            <w:t xml:space="preserve"> }}</w:t>
          </w:r>
          <w:r w:rsidRPr="00CC2808">
            <w:br/>
            <w:t xml:space="preserve">                                                                      {{ </w:t>
          </w:r>
          <w:proofErr w:type="spellStart"/>
          <w:r w:rsidRPr="00CC2808">
            <w:t>user.email</w:t>
          </w:r>
          <w:proofErr w:type="spellEnd"/>
          <w:r w:rsidRPr="00CC2808">
            <w:t xml:space="preserve"> }}</w:t>
          </w:r>
          <w:r w:rsidRPr="00CC2808">
            <w:br/>
          </w:r>
        </w:sdtContent>
      </w:sdt>
    </w:p>
    <w:p w14:paraId="0D4A1C07" w14:textId="77777777" w:rsidR="00CC2808" w:rsidRPr="00CC2808" w:rsidRDefault="00CC2808" w:rsidP="00CC2808">
      <w:pPr>
        <w:pBdr>
          <w:top w:val="nil"/>
          <w:left w:val="nil"/>
          <w:bottom w:val="nil"/>
          <w:right w:val="nil"/>
          <w:between w:val="nil"/>
          <w:bar w:val="nil"/>
        </w:pBdr>
        <w:spacing w:line="276" w:lineRule="auto"/>
        <w:ind w:left="720"/>
        <w:jc w:val="both"/>
        <w:rPr>
          <w:color w:val="000000"/>
          <w:u w:color="000000"/>
          <w:bdr w:val="nil"/>
        </w:rPr>
      </w:pPr>
      <w:r w:rsidRPr="00CC2808">
        <w:rPr>
          <w:color w:val="000000"/>
          <w:u w:color="000000"/>
          <w:bdr w:val="nil"/>
        </w:rPr>
        <w:tab/>
      </w:r>
      <w:r w:rsidRPr="00CC2808">
        <w:rPr>
          <w:color w:val="000000"/>
          <w:u w:color="000000"/>
          <w:bdr w:val="nil"/>
        </w:rPr>
        <w:tab/>
      </w:r>
      <w:r w:rsidRPr="00CC2808">
        <w:rPr>
          <w:color w:val="000000"/>
          <w:u w:color="000000"/>
          <w:bdr w:val="nil"/>
        </w:rPr>
        <w:tab/>
      </w:r>
      <w:r w:rsidRPr="00CC2808">
        <w:rPr>
          <w:color w:val="000000"/>
          <w:u w:color="000000"/>
          <w:bdr w:val="nil"/>
        </w:rPr>
        <w:tab/>
      </w:r>
      <w:r w:rsidRPr="00CC2808">
        <w:rPr>
          <w:color w:val="000000"/>
          <w:u w:color="000000"/>
          <w:bdr w:val="nil"/>
        </w:rPr>
        <w:tab/>
        <w:t xml:space="preserve">Dated: </w:t>
      </w:r>
      <w:proofErr w:type="gramStart"/>
      <w:r w:rsidRPr="00CC2808">
        <w:rPr>
          <w:color w:val="000000"/>
          <w:u w:color="000000"/>
          <w:bdr w:val="nil"/>
        </w:rPr>
        <w:t xml:space="preserve">{{ </w:t>
      </w:r>
      <w:proofErr w:type="spellStart"/>
      <w:r w:rsidRPr="00CC2808">
        <w:rPr>
          <w:color w:val="000000"/>
          <w:u w:color="000000"/>
          <w:bdr w:val="nil"/>
        </w:rPr>
        <w:t>format</w:t>
      </w:r>
      <w:proofErr w:type="gramEnd"/>
      <w:r w:rsidRPr="00CC2808">
        <w:rPr>
          <w:color w:val="000000"/>
          <w:u w:color="000000"/>
          <w:bdr w:val="nil"/>
        </w:rPr>
        <w:t>_date</w:t>
      </w:r>
      <w:proofErr w:type="spellEnd"/>
      <w:r w:rsidRPr="00CC2808">
        <w:rPr>
          <w:color w:val="000000"/>
          <w:u w:color="000000"/>
          <w:bdr w:val="nil"/>
        </w:rPr>
        <w:t>(today()) }}</w:t>
      </w:r>
    </w:p>
    <w:p w14:paraId="6F21EAAB" w14:textId="77777777" w:rsidR="00CC2808" w:rsidRPr="00CC2808" w:rsidRDefault="00CC2808" w:rsidP="00CC2808">
      <w:pPr>
        <w:pBdr>
          <w:top w:val="nil"/>
          <w:left w:val="nil"/>
          <w:bottom w:val="nil"/>
          <w:right w:val="nil"/>
          <w:between w:val="nil"/>
          <w:bar w:val="nil"/>
        </w:pBdr>
        <w:spacing w:line="276" w:lineRule="auto"/>
        <w:ind w:left="720"/>
        <w:jc w:val="both"/>
        <w:rPr>
          <w:color w:val="000000"/>
          <w:u w:color="000000"/>
          <w:bdr w:val="nil"/>
        </w:rPr>
      </w:pPr>
    </w:p>
    <w:p w14:paraId="03348FD2" w14:textId="77777777" w:rsidR="00CC2808" w:rsidRPr="00CC2808" w:rsidRDefault="00CC2808" w:rsidP="00CC2808">
      <w:pPr>
        <w:rPr>
          <w:i/>
          <w:iCs/>
          <w:caps/>
        </w:rPr>
      </w:pPr>
      <w:r w:rsidRPr="00CC2808">
        <w:rPr>
          <w:i/>
          <w:iCs/>
          <w:caps/>
        </w:rPr>
        <w:t>P</w:t>
      </w:r>
      <w:r w:rsidRPr="00CC2808">
        <w:rPr>
          <w:i/>
          <w:iCs/>
        </w:rPr>
        <w:t>repared with the assistance of legal counsel</w:t>
      </w:r>
    </w:p>
    <w:p w14:paraId="53DAA077" w14:textId="5700F195" w:rsidR="005F7E5C" w:rsidRPr="0002428D" w:rsidRDefault="005F7E5C" w:rsidP="00CC2808">
      <w:pPr>
        <w:pStyle w:val="Body"/>
        <w:ind w:left="720"/>
        <w:jc w:val="both"/>
      </w:pPr>
    </w:p>
    <w:sectPr w:rsidR="005F7E5C" w:rsidRPr="0002428D" w:rsidSect="007A2DF4">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279D6" w14:textId="77777777" w:rsidR="00B159F3" w:rsidRDefault="00B159F3" w:rsidP="007A2DF4">
      <w:r>
        <w:separator/>
      </w:r>
    </w:p>
  </w:endnote>
  <w:endnote w:type="continuationSeparator" w:id="0">
    <w:p w14:paraId="2A34BDD7" w14:textId="77777777" w:rsidR="00B159F3" w:rsidRDefault="00B159F3" w:rsidP="007A2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10DDD" w14:textId="3000FA23" w:rsidR="006E7441" w:rsidRDefault="006E7441" w:rsidP="007A2DF4">
    <w:pPr>
      <w:pStyle w:val="Footer"/>
      <w:tabs>
        <w:tab w:val="clear" w:pos="4320"/>
        <w:tab w:val="clear" w:pos="8640"/>
      </w:tabs>
      <w:jc w:val="center"/>
    </w:pPr>
    <w:r>
      <w:t xml:space="preserve">– </w:t>
    </w:r>
    <w:r>
      <w:rPr>
        <w:rStyle w:val="PageNumber"/>
      </w:rPr>
      <w:fldChar w:fldCharType="begin"/>
    </w:r>
    <w:r>
      <w:rPr>
        <w:rStyle w:val="PageNumber"/>
      </w:rPr>
      <w:instrText xml:space="preserve"> PAGE </w:instrText>
    </w:r>
    <w:r>
      <w:rPr>
        <w:rStyle w:val="PageNumber"/>
      </w:rPr>
      <w:fldChar w:fldCharType="separate"/>
    </w:r>
    <w:r w:rsidR="009E5A9F">
      <w:rPr>
        <w:rStyle w:val="PageNumber"/>
        <w:noProof/>
      </w:rPr>
      <w:t>2</w:t>
    </w:r>
    <w:r>
      <w:rPr>
        <w:rStyle w:val="PageNumber"/>
      </w:rPr>
      <w:fldChar w:fldCharType="end"/>
    </w:r>
    <w:r>
      <w:rPr>
        <w:rStyle w:val="PageNumber"/>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58A51" w14:textId="5971EEE8" w:rsidR="006E7441" w:rsidRDefault="006E7441">
    <w:pPr>
      <w:pStyle w:val="Footer"/>
      <w:jc w:val="center"/>
    </w:pPr>
    <w:r>
      <w:fldChar w:fldCharType="begin"/>
    </w:r>
    <w:r>
      <w:instrText xml:space="preserve"> PAGE   \* MERGEFORMAT </w:instrText>
    </w:r>
    <w:r>
      <w:fldChar w:fldCharType="separate"/>
    </w:r>
    <w:r w:rsidR="009E5A9F">
      <w:rPr>
        <w:noProof/>
      </w:rPr>
      <w:t>1</w:t>
    </w:r>
    <w:r>
      <w:rPr>
        <w:noProof/>
      </w:rPr>
      <w:fldChar w:fldCharType="end"/>
    </w:r>
  </w:p>
  <w:p w14:paraId="13E81647" w14:textId="77777777" w:rsidR="006E7441" w:rsidRPr="006549A8" w:rsidRDefault="006E7441" w:rsidP="007A2DF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59719" w14:textId="77777777" w:rsidR="00B159F3" w:rsidRDefault="00B159F3" w:rsidP="007A2DF4">
      <w:r>
        <w:separator/>
      </w:r>
    </w:p>
  </w:footnote>
  <w:footnote w:type="continuationSeparator" w:id="0">
    <w:p w14:paraId="40B42E94" w14:textId="77777777" w:rsidR="00B159F3" w:rsidRDefault="00B159F3" w:rsidP="007A2DF4">
      <w:r>
        <w:continuationSeparator/>
      </w:r>
    </w:p>
  </w:footnote>
  <w:footnote w:id="1">
    <w:p w14:paraId="1EE4017E" w14:textId="77777777" w:rsidR="008D0F47" w:rsidRDefault="008D0F47" w:rsidP="008D0F47">
      <w:pPr>
        <w:pStyle w:val="FootnoteText"/>
      </w:pPr>
      <w:r>
        <w:rPr>
          <w:rStyle w:val="FootnoteReference"/>
        </w:rPr>
        <w:footnoteRef/>
      </w:r>
      <w:r>
        <w:t xml:space="preserve"> The statute states in pertinent part that: </w:t>
      </w:r>
    </w:p>
    <w:p w14:paraId="2C19F28D" w14:textId="77777777" w:rsidR="008D0F47" w:rsidRPr="00F175A5" w:rsidRDefault="008D0F47" w:rsidP="008D0F47">
      <w:pPr>
        <w:pStyle w:val="FootnoteText"/>
        <w:ind w:left="720"/>
        <w:rPr>
          <w:rFonts w:eastAsia="Calibri"/>
        </w:rPr>
      </w:pPr>
      <w:r w:rsidRPr="00F175A5">
        <w:rPr>
          <w:rFonts w:eastAsia="Calibri"/>
        </w:rPr>
        <w:t>If wages for personal labor or personal services of a defendant are attached for a debt or claim, an amount not exceeding the greater of 85 per cent of the debtor’s gross wages or 50 times the greater of the federal or the Massachusetts hourly minimum wage for each week or portion thereof out of the wages then due to the defendant for labor performed or services rendered during each week for which such wages were earned but not paid shall be reserved in the hands of the trustee and shall be exempt from such attachment. . . .  The amount reserved under this section shall be paid by the trustee to the defendant in the same manner and at the same time as such amount would have been paid if no such attachment had been made.</w:t>
      </w:r>
    </w:p>
    <w:p w14:paraId="54E6A8AF" w14:textId="5A0F0151" w:rsidR="008D0F47" w:rsidRPr="00F175A5" w:rsidRDefault="00F175A5" w:rsidP="008D0F47">
      <w:pPr>
        <w:pStyle w:val="FootnoteText"/>
      </w:pPr>
      <w:r w:rsidRPr="00F175A5">
        <w:t xml:space="preserve">G.L. c. 246, § 28.  </w:t>
      </w:r>
    </w:p>
    <w:p w14:paraId="2FE237BD" w14:textId="77777777" w:rsidR="008D0F47" w:rsidRDefault="008D0F47" w:rsidP="008D0F47">
      <w:pPr>
        <w:pStyle w:val="FootnoteText"/>
      </w:pPr>
    </w:p>
  </w:footnote>
  <w:footnote w:id="2">
    <w:p w14:paraId="6FDC9E9C" w14:textId="77777777" w:rsidR="00F175A5" w:rsidRDefault="00F175A5" w:rsidP="00F175A5">
      <w:pPr>
        <w:pStyle w:val="FootnoteText"/>
      </w:pPr>
      <w:r>
        <w:rPr>
          <w:rStyle w:val="FootnoteReference"/>
        </w:rPr>
        <w:footnoteRef/>
      </w:r>
      <w:r>
        <w:t xml:space="preserve"> The statute states in pertinent part that: </w:t>
      </w:r>
    </w:p>
    <w:p w14:paraId="01961ED7" w14:textId="7729D300" w:rsidR="00F175A5" w:rsidRPr="00F175A5" w:rsidRDefault="00F175A5" w:rsidP="00F175A5">
      <w:pPr>
        <w:pStyle w:val="FootnoteText"/>
        <w:ind w:left="720"/>
        <w:rPr>
          <w:rFonts w:eastAsia="Calibri"/>
        </w:rPr>
      </w:pPr>
      <w:r w:rsidRPr="00F175A5">
        <w:rPr>
          <w:rFonts w:eastAsia="Calibri"/>
        </w:rPr>
        <w:t>If wages for personal labor or personal services of a defendant are attached for a debt or claim, an amount not exceeding the greater of 85 per cent of the debtor’s gross wages or 50 times the greater of the federal or the Massachusetts hourly minimum wage for each week or portion thereof out of the wages then due to the defendant for labor performed or services rendered during each week for which such wages were earned but not paid shall be reserved in the hands of the trustee and shall be exempt from such attachment. . . .  The amount reserved under this section shall be paid by the trustee to the defendant in the same manner and at the same time as such amount would have been paid if no such attachment had been made.</w:t>
      </w:r>
    </w:p>
    <w:p w14:paraId="02CA41A2" w14:textId="5CBAB3F1" w:rsidR="00F175A5" w:rsidRPr="00F175A5" w:rsidRDefault="00F175A5" w:rsidP="00F175A5">
      <w:pPr>
        <w:pStyle w:val="FootnoteText"/>
      </w:pPr>
      <w:r w:rsidRPr="00F175A5">
        <w:t xml:space="preserve">G.L. c. 246, § 28.  </w:t>
      </w:r>
    </w:p>
    <w:p w14:paraId="7737644C" w14:textId="77777777" w:rsidR="00F175A5" w:rsidRPr="00F175A5" w:rsidRDefault="00F175A5" w:rsidP="00F175A5">
      <w:pPr>
        <w:pStyle w:val="FootnoteText"/>
      </w:pPr>
    </w:p>
    <w:p w14:paraId="759F4C47" w14:textId="77777777" w:rsidR="00F175A5" w:rsidRDefault="00F175A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E89D9" w14:textId="77777777" w:rsidR="006E7441" w:rsidRPr="006549A8" w:rsidRDefault="006E7441" w:rsidP="007A2DF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C4480" w14:textId="77777777" w:rsidR="00F14AD7" w:rsidRPr="00E74F48" w:rsidRDefault="00F14AD7" w:rsidP="00F14AD7">
    <w:pPr>
      <w:pStyle w:val="VenueLine"/>
      <w:spacing w:before="0" w:after="240"/>
    </w:pPr>
    <w:r w:rsidRPr="00E74F48">
      <w:t>Commonwealth of massachusetts</w:t>
    </w:r>
    <w:r w:rsidRPr="00E74F48">
      <w:br/>
    </w:r>
    <w:proofErr w:type="gramStart"/>
    <w:r w:rsidRPr="00E74F48">
      <w:t xml:space="preserve">{{ </w:t>
    </w:r>
    <w:proofErr w:type="spellStart"/>
    <w:r w:rsidRPr="00E74F48">
      <w:rPr>
        <w:caps w:val="0"/>
      </w:rPr>
      <w:t>court</w:t>
    </w:r>
    <w:proofErr w:type="gramEnd"/>
    <w:r w:rsidRPr="00E74F48">
      <w:rPr>
        <w:caps w:val="0"/>
      </w:rPr>
      <w:t>_name</w:t>
    </w:r>
    <w:proofErr w:type="spellEnd"/>
    <w:r w:rsidRPr="00E74F48">
      <w:rPr>
        <w:caps w:val="0"/>
      </w:rPr>
      <w:t xml:space="preserve"> </w:t>
    </w:r>
    <w:r w:rsidRPr="00E74F48">
      <w:t>}} COURT</w:t>
    </w:r>
    <w:r w:rsidRPr="00E74F48">
      <w:br/>
      <w:t xml:space="preserve">{{ </w:t>
    </w:r>
    <w:proofErr w:type="spellStart"/>
    <w:r w:rsidRPr="00E74F48">
      <w:rPr>
        <w:caps w:val="0"/>
      </w:rPr>
      <w:t>court_department</w:t>
    </w:r>
    <w:proofErr w:type="spellEnd"/>
    <w:r w:rsidRPr="00E74F48">
      <w:rPr>
        <w:caps w:val="0"/>
      </w:rPr>
      <w:t xml:space="preserve"> </w:t>
    </w:r>
    <w:r w:rsidRPr="00E74F48">
      <w:t>}} department of the trial court</w:t>
    </w:r>
  </w:p>
  <w:p w14:paraId="7E8CAF86" w14:textId="77777777" w:rsidR="00F14AD7" w:rsidRPr="002644AE" w:rsidRDefault="00F14AD7" w:rsidP="00F14AD7">
    <w:pPr>
      <w:tabs>
        <w:tab w:val="left" w:pos="0"/>
        <w:tab w:val="left" w:pos="720"/>
        <w:tab w:val="left" w:pos="5040"/>
      </w:tabs>
      <w:suppressAutoHyphens/>
      <w:spacing w:line="240" w:lineRule="atLeast"/>
      <w:rPr>
        <w:b/>
        <w:smallCaps/>
      </w:rPr>
    </w:pPr>
  </w:p>
  <w:p w14:paraId="76369D64" w14:textId="77777777" w:rsidR="00F14AD7" w:rsidRPr="002644AE" w:rsidRDefault="00F14AD7" w:rsidP="00F14AD7">
    <w:pPr>
      <w:tabs>
        <w:tab w:val="left" w:pos="0"/>
        <w:tab w:val="left" w:pos="720"/>
        <w:tab w:val="left" w:pos="4140"/>
      </w:tabs>
      <w:suppressAutoHyphens/>
      <w:spacing w:line="240" w:lineRule="atLeast"/>
      <w:ind w:right="288"/>
      <w:rPr>
        <w:b/>
        <w:smallCaps/>
      </w:rPr>
    </w:pPr>
    <w:proofErr w:type="gramStart"/>
    <w:r>
      <w:rPr>
        <w:b/>
        <w:smallCaps/>
      </w:rPr>
      <w:t xml:space="preserve">{{ </w:t>
    </w:r>
    <w:proofErr w:type="spellStart"/>
    <w:r>
      <w:rPr>
        <w:b/>
        <w:smallCaps/>
      </w:rPr>
      <w:t>user.address</w:t>
    </w:r>
    <w:proofErr w:type="gramEnd"/>
    <w:r>
      <w:rPr>
        <w:b/>
        <w:smallCaps/>
      </w:rPr>
      <w:t>.county</w:t>
    </w:r>
    <w:proofErr w:type="spellEnd"/>
    <w:r>
      <w:rPr>
        <w:b/>
        <w:smallCaps/>
      </w:rPr>
      <w:t xml:space="preserve"> }}</w:t>
    </w:r>
    <w:r w:rsidRPr="002644AE">
      <w:rPr>
        <w:b/>
        <w:smallCaps/>
      </w:rPr>
      <w:t>, SS</w:t>
    </w:r>
    <w:r w:rsidRPr="002644AE">
      <w:rPr>
        <w:b/>
        <w:i/>
        <w:smallCaps/>
      </w:rPr>
      <w:tab/>
    </w:r>
    <w:r w:rsidRPr="002644AE">
      <w:rPr>
        <w:b/>
        <w:i/>
        <w:smallCaps/>
      </w:rPr>
      <w:tab/>
    </w:r>
    <w:r w:rsidRPr="002644AE">
      <w:rPr>
        <w:b/>
        <w:i/>
        <w:smallCaps/>
      </w:rPr>
      <w:tab/>
    </w:r>
  </w:p>
  <w:p w14:paraId="2840ECF5" w14:textId="77777777" w:rsidR="00F14AD7" w:rsidRPr="002644AE" w:rsidRDefault="00F14AD7" w:rsidP="00F14AD7">
    <w:pPr>
      <w:rPr>
        <w:b/>
      </w:rPr>
    </w:pPr>
    <w:r w:rsidRPr="002644AE">
      <w:rPr>
        <w:b/>
        <w:i/>
        <w:smallCaps/>
      </w:rPr>
      <w:tab/>
    </w:r>
    <w:r w:rsidRPr="002644AE">
      <w:rPr>
        <w:b/>
        <w:i/>
        <w:smallCaps/>
      </w:rPr>
      <w:tab/>
    </w:r>
    <w:r w:rsidRPr="002644AE">
      <w:rPr>
        <w:b/>
        <w:i/>
        <w:smallCaps/>
      </w:rPr>
      <w:tab/>
    </w:r>
    <w:r w:rsidRPr="002644AE">
      <w:rPr>
        <w:b/>
        <w:i/>
        <w:smallCaps/>
      </w:rPr>
      <w:tab/>
    </w:r>
    <w:r w:rsidRPr="002644AE">
      <w:rPr>
        <w:b/>
        <w:i/>
        <w:smallCaps/>
      </w:rPr>
      <w:tab/>
    </w:r>
    <w:r w:rsidRPr="002644AE">
      <w:rPr>
        <w:b/>
        <w:i/>
        <w:smallCaps/>
      </w:rPr>
      <w:tab/>
    </w:r>
    <w:r w:rsidRPr="002644AE">
      <w:rPr>
        <w:b/>
        <w:i/>
        <w:smallCaps/>
      </w:rPr>
      <w:tab/>
    </w:r>
    <w:r w:rsidRPr="001A0D45">
      <w:rPr>
        <w:b/>
        <w:smallCaps/>
      </w:rPr>
      <w:t xml:space="preserve">DOCKET NO. </w:t>
    </w:r>
    <w:proofErr w:type="gramStart"/>
    <w:r>
      <w:rPr>
        <w:b/>
        <w:smallCaps/>
      </w:rPr>
      <w:t xml:space="preserve">{{ </w:t>
    </w:r>
    <w:proofErr w:type="spellStart"/>
    <w:r>
      <w:rPr>
        <w:b/>
        <w:smallCaps/>
      </w:rPr>
      <w:t>case</w:t>
    </w:r>
    <w:proofErr w:type="gramEnd"/>
    <w:r>
      <w:rPr>
        <w:b/>
        <w:smallCaps/>
      </w:rPr>
      <w:t>_number</w:t>
    </w:r>
    <w:proofErr w:type="spellEnd"/>
    <w:r>
      <w:rPr>
        <w:b/>
        <w:smallCaps/>
      </w:rPr>
      <w:t xml:space="preserve"> }}</w:t>
    </w:r>
  </w:p>
  <w:p w14:paraId="5DCF2E92" w14:textId="77777777" w:rsidR="00F14AD7" w:rsidRPr="002A2A6F" w:rsidRDefault="00F14AD7" w:rsidP="00F14AD7">
    <w:pPr>
      <w:tabs>
        <w:tab w:val="left" w:pos="5040"/>
      </w:tabs>
    </w:pPr>
  </w:p>
  <w:p w14:paraId="58F24D93" w14:textId="77777777" w:rsidR="006E7441" w:rsidRPr="002A2A6F" w:rsidRDefault="006E7441" w:rsidP="007A2DF4">
    <w:pPr>
      <w:tabs>
        <w:tab w:val="left" w:pos="50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1605D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76173"/>
    <w:multiLevelType w:val="hybridMultilevel"/>
    <w:tmpl w:val="73C030CC"/>
    <w:lvl w:ilvl="0" w:tplc="B696072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96D30"/>
    <w:multiLevelType w:val="hybridMultilevel"/>
    <w:tmpl w:val="6344A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F11DB9"/>
    <w:multiLevelType w:val="hybridMultilevel"/>
    <w:tmpl w:val="157A5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62197"/>
    <w:multiLevelType w:val="hybridMultilevel"/>
    <w:tmpl w:val="A19EA4B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2200DDA"/>
    <w:multiLevelType w:val="hybridMultilevel"/>
    <w:tmpl w:val="5B42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358E4"/>
    <w:multiLevelType w:val="multilevel"/>
    <w:tmpl w:val="823476C2"/>
    <w:lvl w:ilvl="0">
      <w:start w:val="1"/>
      <w:numFmt w:val="decimal"/>
      <w:suff w:val="space"/>
      <w:lvlText w:val="%1."/>
      <w:lvlJc w:val="left"/>
      <w:rPr>
        <w:rFonts w:hint="default"/>
        <w:b w:val="0"/>
      </w:rPr>
    </w:lvl>
    <w:lvl w:ilvl="1">
      <w:start w:val="1"/>
      <w:numFmt w:val="lowerLetter"/>
      <w:suff w:val="space"/>
      <w:lvlText w:val="%2."/>
      <w:lvlJc w:val="left"/>
      <w:pPr>
        <w:ind w:firstLine="720"/>
      </w:pPr>
      <w:rPr>
        <w:rFonts w:hint="default"/>
      </w:rPr>
    </w:lvl>
    <w:lvl w:ilvl="2">
      <w:start w:val="1"/>
      <w:numFmt w:val="lowerRoman"/>
      <w:suff w:val="space"/>
      <w:lvlText w:val="%3."/>
      <w:lvlJc w:val="left"/>
      <w:pPr>
        <w:ind w:firstLine="1440"/>
      </w:pPr>
      <w:rPr>
        <w:rFonts w:hint="default"/>
      </w:rPr>
    </w:lvl>
    <w:lvl w:ilvl="3">
      <w:start w:val="1"/>
      <w:numFmt w:val="decimal"/>
      <w:suff w:val="space"/>
      <w:lvlText w:val="(%4)"/>
      <w:lvlJc w:val="left"/>
      <w:pPr>
        <w:ind w:firstLine="2160"/>
      </w:pPr>
      <w:rPr>
        <w:rFonts w:hint="default"/>
      </w:rPr>
    </w:lvl>
    <w:lvl w:ilvl="4">
      <w:start w:val="1"/>
      <w:numFmt w:val="lowerLetter"/>
      <w:suff w:val="space"/>
      <w:lvlText w:val="(%5)"/>
      <w:lvlJc w:val="left"/>
      <w:pPr>
        <w:ind w:firstLine="2880"/>
      </w:pPr>
      <w:rPr>
        <w:rFonts w:hint="default"/>
      </w:rPr>
    </w:lvl>
    <w:lvl w:ilvl="5">
      <w:start w:val="1"/>
      <w:numFmt w:val="lowerRoman"/>
      <w:suff w:val="space"/>
      <w:lvlText w:val="(%6)"/>
      <w:lvlJc w:val="left"/>
      <w:pPr>
        <w:ind w:firstLine="3600"/>
      </w:pPr>
      <w:rPr>
        <w:rFonts w:hint="default"/>
      </w:rPr>
    </w:lvl>
    <w:lvl w:ilvl="6">
      <w:start w:val="1"/>
      <w:numFmt w:val="decimal"/>
      <w:suff w:val="space"/>
      <w:lvlText w:val="%7)"/>
      <w:lvlJc w:val="left"/>
      <w:pPr>
        <w:ind w:firstLine="4320"/>
      </w:pPr>
      <w:rPr>
        <w:rFonts w:hint="default"/>
      </w:rPr>
    </w:lvl>
    <w:lvl w:ilvl="7">
      <w:start w:val="1"/>
      <w:numFmt w:val="lowerLetter"/>
      <w:suff w:val="space"/>
      <w:lvlText w:val="%8)"/>
      <w:lvlJc w:val="left"/>
      <w:pPr>
        <w:ind w:firstLine="5040"/>
      </w:pPr>
      <w:rPr>
        <w:rFonts w:hint="default"/>
      </w:rPr>
    </w:lvl>
    <w:lvl w:ilvl="8">
      <w:start w:val="1"/>
      <w:numFmt w:val="lowerRoman"/>
      <w:suff w:val="space"/>
      <w:lvlText w:val="%9)"/>
      <w:lvlJc w:val="left"/>
      <w:pPr>
        <w:ind w:firstLine="5760"/>
      </w:pPr>
      <w:rPr>
        <w:rFonts w:hint="default"/>
      </w:rPr>
    </w:lvl>
  </w:abstractNum>
  <w:abstractNum w:abstractNumId="7" w15:restartNumberingAfterBreak="0">
    <w:nsid w:val="16641EB2"/>
    <w:multiLevelType w:val="hybridMultilevel"/>
    <w:tmpl w:val="53C40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82ECD"/>
    <w:multiLevelType w:val="hybridMultilevel"/>
    <w:tmpl w:val="3B5EF0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9312E48"/>
    <w:multiLevelType w:val="hybridMultilevel"/>
    <w:tmpl w:val="D7765448"/>
    <w:lvl w:ilvl="0" w:tplc="A49A46C8">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A37A47"/>
    <w:multiLevelType w:val="hybridMultilevel"/>
    <w:tmpl w:val="A6022CEE"/>
    <w:lvl w:ilvl="0" w:tplc="9970F1F0">
      <w:start w:val="1"/>
      <w:numFmt w:val="lowerLetter"/>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D4A3E80"/>
    <w:multiLevelType w:val="hybridMultilevel"/>
    <w:tmpl w:val="06368976"/>
    <w:lvl w:ilvl="0" w:tplc="773221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BF7020"/>
    <w:multiLevelType w:val="hybridMultilevel"/>
    <w:tmpl w:val="D32AAA9C"/>
    <w:lvl w:ilvl="0" w:tplc="B696072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2B491A"/>
    <w:multiLevelType w:val="hybridMultilevel"/>
    <w:tmpl w:val="5B42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E47BC3"/>
    <w:multiLevelType w:val="hybridMultilevel"/>
    <w:tmpl w:val="5B42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756C5"/>
    <w:multiLevelType w:val="hybridMultilevel"/>
    <w:tmpl w:val="5B42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DF2660"/>
    <w:multiLevelType w:val="hybridMultilevel"/>
    <w:tmpl w:val="E8385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F1184F"/>
    <w:multiLevelType w:val="hybridMultilevel"/>
    <w:tmpl w:val="23EA3714"/>
    <w:lvl w:ilvl="0" w:tplc="04090011">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8077662"/>
    <w:multiLevelType w:val="hybridMultilevel"/>
    <w:tmpl w:val="78C8F5C2"/>
    <w:lvl w:ilvl="0" w:tplc="D6341EA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49A62FBE"/>
    <w:multiLevelType w:val="hybridMultilevel"/>
    <w:tmpl w:val="0792CBFC"/>
    <w:lvl w:ilvl="0" w:tplc="2196FFC6">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A72898"/>
    <w:multiLevelType w:val="hybridMultilevel"/>
    <w:tmpl w:val="8C8A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74659"/>
    <w:multiLevelType w:val="hybridMultilevel"/>
    <w:tmpl w:val="0242EC82"/>
    <w:lvl w:ilvl="0" w:tplc="F3303EBC">
      <w:start w:val="1"/>
      <w:numFmt w:val="decimal"/>
      <w:lvlText w:val="A%1."/>
      <w:lvlJc w:val="left"/>
      <w:pPr>
        <w:tabs>
          <w:tab w:val="num" w:pos="720"/>
        </w:tabs>
        <w:ind w:left="720" w:hanging="360"/>
      </w:pPr>
      <w:rPr>
        <w:rFonts w:hint="default"/>
        <w:b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FB85866"/>
    <w:multiLevelType w:val="multilevel"/>
    <w:tmpl w:val="8208021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94D084F"/>
    <w:multiLevelType w:val="hybridMultilevel"/>
    <w:tmpl w:val="028C182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EE91D11"/>
    <w:multiLevelType w:val="multilevel"/>
    <w:tmpl w:val="8842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F26275"/>
    <w:multiLevelType w:val="hybridMultilevel"/>
    <w:tmpl w:val="78C8F5C2"/>
    <w:lvl w:ilvl="0" w:tplc="D6341EA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7274113E"/>
    <w:multiLevelType w:val="hybridMultilevel"/>
    <w:tmpl w:val="9E20D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926866"/>
    <w:multiLevelType w:val="hybridMultilevel"/>
    <w:tmpl w:val="6AFA5D9C"/>
    <w:lvl w:ilvl="0" w:tplc="B696072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8"/>
  </w:num>
  <w:num w:numId="3">
    <w:abstractNumId w:val="0"/>
  </w:num>
  <w:num w:numId="4">
    <w:abstractNumId w:val="16"/>
  </w:num>
  <w:num w:numId="5">
    <w:abstractNumId w:val="5"/>
  </w:num>
  <w:num w:numId="6">
    <w:abstractNumId w:val="20"/>
  </w:num>
  <w:num w:numId="7">
    <w:abstractNumId w:val="2"/>
  </w:num>
  <w:num w:numId="8">
    <w:abstractNumId w:val="7"/>
  </w:num>
  <w:num w:numId="9">
    <w:abstractNumId w:val="19"/>
  </w:num>
  <w:num w:numId="10">
    <w:abstractNumId w:val="17"/>
  </w:num>
  <w:num w:numId="11">
    <w:abstractNumId w:val="6"/>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4"/>
  </w:num>
  <w:num w:numId="15">
    <w:abstractNumId w:val="15"/>
  </w:num>
  <w:num w:numId="16">
    <w:abstractNumId w:val="13"/>
  </w:num>
  <w:num w:numId="17">
    <w:abstractNumId w:val="21"/>
  </w:num>
  <w:num w:numId="18">
    <w:abstractNumId w:val="11"/>
  </w:num>
  <w:num w:numId="19">
    <w:abstractNumId w:val="22"/>
  </w:num>
  <w:num w:numId="20">
    <w:abstractNumId w:val="8"/>
  </w:num>
  <w:num w:numId="21">
    <w:abstractNumId w:val="23"/>
  </w:num>
  <w:num w:numId="22">
    <w:abstractNumId w:val="3"/>
  </w:num>
  <w:num w:numId="23">
    <w:abstractNumId w:val="26"/>
  </w:num>
  <w:num w:numId="24">
    <w:abstractNumId w:val="24"/>
  </w:num>
  <w:num w:numId="25">
    <w:abstractNumId w:val="4"/>
  </w:num>
  <w:num w:numId="26">
    <w:abstractNumId w:val="1"/>
  </w:num>
  <w:num w:numId="27">
    <w:abstractNumId w:val="27"/>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52"/>
    <w:rsid w:val="00003979"/>
    <w:rsid w:val="00020071"/>
    <w:rsid w:val="0002428D"/>
    <w:rsid w:val="000248F3"/>
    <w:rsid w:val="00034D15"/>
    <w:rsid w:val="00046251"/>
    <w:rsid w:val="000473B1"/>
    <w:rsid w:val="00082A49"/>
    <w:rsid w:val="00090E97"/>
    <w:rsid w:val="000A5ECC"/>
    <w:rsid w:val="000C6D6E"/>
    <w:rsid w:val="000D013D"/>
    <w:rsid w:val="000D2B8C"/>
    <w:rsid w:val="000E1553"/>
    <w:rsid w:val="000E5837"/>
    <w:rsid w:val="000F0F4D"/>
    <w:rsid w:val="00114BC9"/>
    <w:rsid w:val="0012488E"/>
    <w:rsid w:val="00140DEE"/>
    <w:rsid w:val="0015173F"/>
    <w:rsid w:val="00152B91"/>
    <w:rsid w:val="001626DE"/>
    <w:rsid w:val="00163F45"/>
    <w:rsid w:val="00171C64"/>
    <w:rsid w:val="00180DE6"/>
    <w:rsid w:val="001857F3"/>
    <w:rsid w:val="001921BC"/>
    <w:rsid w:val="001B020A"/>
    <w:rsid w:val="001B4EEC"/>
    <w:rsid w:val="001B6084"/>
    <w:rsid w:val="001B628C"/>
    <w:rsid w:val="001D23C0"/>
    <w:rsid w:val="001D3A29"/>
    <w:rsid w:val="001E1B66"/>
    <w:rsid w:val="001F0F53"/>
    <w:rsid w:val="00200F62"/>
    <w:rsid w:val="002060E9"/>
    <w:rsid w:val="00207680"/>
    <w:rsid w:val="00210FED"/>
    <w:rsid w:val="0021363A"/>
    <w:rsid w:val="00217F7F"/>
    <w:rsid w:val="00225D1C"/>
    <w:rsid w:val="00242ED6"/>
    <w:rsid w:val="00247E34"/>
    <w:rsid w:val="00251895"/>
    <w:rsid w:val="002644AE"/>
    <w:rsid w:val="002700FD"/>
    <w:rsid w:val="0027046A"/>
    <w:rsid w:val="002709F9"/>
    <w:rsid w:val="0029393F"/>
    <w:rsid w:val="00296609"/>
    <w:rsid w:val="002B4EFA"/>
    <w:rsid w:val="002E23F4"/>
    <w:rsid w:val="003112B4"/>
    <w:rsid w:val="003333E5"/>
    <w:rsid w:val="003364AF"/>
    <w:rsid w:val="00346AB8"/>
    <w:rsid w:val="00356A12"/>
    <w:rsid w:val="00381391"/>
    <w:rsid w:val="003823DC"/>
    <w:rsid w:val="003B2004"/>
    <w:rsid w:val="003C10B5"/>
    <w:rsid w:val="003D2854"/>
    <w:rsid w:val="003D2CAF"/>
    <w:rsid w:val="003D34B1"/>
    <w:rsid w:val="003D7CD3"/>
    <w:rsid w:val="003E308A"/>
    <w:rsid w:val="003F0DB7"/>
    <w:rsid w:val="003F7631"/>
    <w:rsid w:val="00404060"/>
    <w:rsid w:val="00413DBC"/>
    <w:rsid w:val="00441FA7"/>
    <w:rsid w:val="00456A88"/>
    <w:rsid w:val="004574B6"/>
    <w:rsid w:val="00460CE0"/>
    <w:rsid w:val="004A0BAB"/>
    <w:rsid w:val="004C56CA"/>
    <w:rsid w:val="004E4269"/>
    <w:rsid w:val="004E76D4"/>
    <w:rsid w:val="004F4610"/>
    <w:rsid w:val="004F5120"/>
    <w:rsid w:val="005140B7"/>
    <w:rsid w:val="0052369B"/>
    <w:rsid w:val="00533FCA"/>
    <w:rsid w:val="005410CA"/>
    <w:rsid w:val="0054246A"/>
    <w:rsid w:val="00546A0F"/>
    <w:rsid w:val="005612BE"/>
    <w:rsid w:val="00582113"/>
    <w:rsid w:val="0058670D"/>
    <w:rsid w:val="005F1ABA"/>
    <w:rsid w:val="005F1DC6"/>
    <w:rsid w:val="005F7E5C"/>
    <w:rsid w:val="00626FA2"/>
    <w:rsid w:val="006279A2"/>
    <w:rsid w:val="00661276"/>
    <w:rsid w:val="006C5EAA"/>
    <w:rsid w:val="006E7441"/>
    <w:rsid w:val="007023D0"/>
    <w:rsid w:val="00706D16"/>
    <w:rsid w:val="0071197F"/>
    <w:rsid w:val="00740007"/>
    <w:rsid w:val="00760DD4"/>
    <w:rsid w:val="00770444"/>
    <w:rsid w:val="0077299D"/>
    <w:rsid w:val="007868A9"/>
    <w:rsid w:val="0079143D"/>
    <w:rsid w:val="00796BA4"/>
    <w:rsid w:val="007A2DF4"/>
    <w:rsid w:val="007A360E"/>
    <w:rsid w:val="007B2DCF"/>
    <w:rsid w:val="007C314D"/>
    <w:rsid w:val="007C636A"/>
    <w:rsid w:val="007D7CE0"/>
    <w:rsid w:val="00801555"/>
    <w:rsid w:val="00822C16"/>
    <w:rsid w:val="00827FE9"/>
    <w:rsid w:val="008300AF"/>
    <w:rsid w:val="00835A9C"/>
    <w:rsid w:val="008721A3"/>
    <w:rsid w:val="00887923"/>
    <w:rsid w:val="008B73EC"/>
    <w:rsid w:val="008D0C22"/>
    <w:rsid w:val="008D0F47"/>
    <w:rsid w:val="008E47EC"/>
    <w:rsid w:val="00905884"/>
    <w:rsid w:val="00913270"/>
    <w:rsid w:val="009137A5"/>
    <w:rsid w:val="00930D6F"/>
    <w:rsid w:val="00934F52"/>
    <w:rsid w:val="00936BFB"/>
    <w:rsid w:val="009702DA"/>
    <w:rsid w:val="009721BE"/>
    <w:rsid w:val="00982D61"/>
    <w:rsid w:val="009A7B65"/>
    <w:rsid w:val="009C1258"/>
    <w:rsid w:val="009E5A9F"/>
    <w:rsid w:val="009F7F6F"/>
    <w:rsid w:val="00A01C55"/>
    <w:rsid w:val="00A11F41"/>
    <w:rsid w:val="00A25EA1"/>
    <w:rsid w:val="00A70D8A"/>
    <w:rsid w:val="00A74463"/>
    <w:rsid w:val="00A75B78"/>
    <w:rsid w:val="00A84955"/>
    <w:rsid w:val="00AA7682"/>
    <w:rsid w:val="00AB148F"/>
    <w:rsid w:val="00AD5661"/>
    <w:rsid w:val="00AD5EA0"/>
    <w:rsid w:val="00B0165F"/>
    <w:rsid w:val="00B0462A"/>
    <w:rsid w:val="00B159F3"/>
    <w:rsid w:val="00B161C4"/>
    <w:rsid w:val="00B17FA7"/>
    <w:rsid w:val="00B235D2"/>
    <w:rsid w:val="00B3745D"/>
    <w:rsid w:val="00B42AF1"/>
    <w:rsid w:val="00B51EC7"/>
    <w:rsid w:val="00B5428C"/>
    <w:rsid w:val="00B61842"/>
    <w:rsid w:val="00B70032"/>
    <w:rsid w:val="00B72A54"/>
    <w:rsid w:val="00B813F1"/>
    <w:rsid w:val="00B963CB"/>
    <w:rsid w:val="00BC219E"/>
    <w:rsid w:val="00C22E55"/>
    <w:rsid w:val="00C344DD"/>
    <w:rsid w:val="00C53552"/>
    <w:rsid w:val="00C60B6B"/>
    <w:rsid w:val="00C748FC"/>
    <w:rsid w:val="00C824B3"/>
    <w:rsid w:val="00C849A0"/>
    <w:rsid w:val="00C914B7"/>
    <w:rsid w:val="00CC2808"/>
    <w:rsid w:val="00CE6225"/>
    <w:rsid w:val="00D6059D"/>
    <w:rsid w:val="00D8758C"/>
    <w:rsid w:val="00D961CB"/>
    <w:rsid w:val="00DB5DD1"/>
    <w:rsid w:val="00DB7841"/>
    <w:rsid w:val="00DC44D8"/>
    <w:rsid w:val="00DD5386"/>
    <w:rsid w:val="00DD5F1B"/>
    <w:rsid w:val="00DF6516"/>
    <w:rsid w:val="00E03093"/>
    <w:rsid w:val="00E20348"/>
    <w:rsid w:val="00E30B96"/>
    <w:rsid w:val="00E31D73"/>
    <w:rsid w:val="00E50E08"/>
    <w:rsid w:val="00E53C5B"/>
    <w:rsid w:val="00E646A3"/>
    <w:rsid w:val="00E670FE"/>
    <w:rsid w:val="00E92860"/>
    <w:rsid w:val="00EA65ED"/>
    <w:rsid w:val="00EC2E87"/>
    <w:rsid w:val="00ED56C8"/>
    <w:rsid w:val="00ED69BC"/>
    <w:rsid w:val="00EE0257"/>
    <w:rsid w:val="00F14AD7"/>
    <w:rsid w:val="00F175A5"/>
    <w:rsid w:val="00F23EDD"/>
    <w:rsid w:val="00F3702A"/>
    <w:rsid w:val="00F42C96"/>
    <w:rsid w:val="00F5016F"/>
    <w:rsid w:val="00F67BD1"/>
    <w:rsid w:val="00F94128"/>
    <w:rsid w:val="00FF1015"/>
    <w:rsid w:val="055A3C68"/>
    <w:rsid w:val="05BE6D98"/>
    <w:rsid w:val="065BC184"/>
    <w:rsid w:val="0778D862"/>
    <w:rsid w:val="08B80F6C"/>
    <w:rsid w:val="09DB6D39"/>
    <w:rsid w:val="0AA47703"/>
    <w:rsid w:val="174F3DC6"/>
    <w:rsid w:val="1BCDB5DE"/>
    <w:rsid w:val="1E14955C"/>
    <w:rsid w:val="1EB213E1"/>
    <w:rsid w:val="27163D0B"/>
    <w:rsid w:val="29EEBD49"/>
    <w:rsid w:val="2AAE299E"/>
    <w:rsid w:val="31FD5ED1"/>
    <w:rsid w:val="33FE838F"/>
    <w:rsid w:val="345E3B29"/>
    <w:rsid w:val="35BE3099"/>
    <w:rsid w:val="37BC4F6B"/>
    <w:rsid w:val="3843B859"/>
    <w:rsid w:val="39CFC2A0"/>
    <w:rsid w:val="3AF5C9F1"/>
    <w:rsid w:val="3B163A80"/>
    <w:rsid w:val="3C8A9954"/>
    <w:rsid w:val="3CE4FF90"/>
    <w:rsid w:val="3FBE0D26"/>
    <w:rsid w:val="42B1B9FD"/>
    <w:rsid w:val="47FBF8A6"/>
    <w:rsid w:val="4BD824A5"/>
    <w:rsid w:val="4BE51603"/>
    <w:rsid w:val="4C1558BD"/>
    <w:rsid w:val="4E37B829"/>
    <w:rsid w:val="539A389C"/>
    <w:rsid w:val="55155A3F"/>
    <w:rsid w:val="5538BC5A"/>
    <w:rsid w:val="564C6FA1"/>
    <w:rsid w:val="565E5386"/>
    <w:rsid w:val="5B2F74E7"/>
    <w:rsid w:val="5F50B8B7"/>
    <w:rsid w:val="60D6877F"/>
    <w:rsid w:val="6A62018E"/>
    <w:rsid w:val="6F752F1D"/>
    <w:rsid w:val="710ACBE8"/>
    <w:rsid w:val="75F3CE51"/>
    <w:rsid w:val="7648B610"/>
    <w:rsid w:val="769CE998"/>
    <w:rsid w:val="77290E91"/>
    <w:rsid w:val="776F935F"/>
    <w:rsid w:val="7B97EF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94A307"/>
  <w15:docId w15:val="{E6CE825A-B6D0-6D40-B975-56DEAB44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35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574B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6">
    <w:name w:val="heading 6"/>
    <w:basedOn w:val="Normal"/>
    <w:next w:val="Normal"/>
    <w:link w:val="Heading6Char"/>
    <w:qFormat/>
    <w:rsid w:val="00F42C96"/>
    <w:pPr>
      <w:keepNext/>
      <w:widowControl w:val="0"/>
      <w:tabs>
        <w:tab w:val="left" w:pos="0"/>
        <w:tab w:val="left" w:pos="180"/>
        <w:tab w:val="left" w:pos="1620"/>
        <w:tab w:val="left" w:pos="5220"/>
        <w:tab w:val="left" w:pos="9618"/>
      </w:tabs>
      <w:suppressAutoHyphens/>
      <w:snapToGrid w:val="0"/>
      <w:outlineLvl w:val="5"/>
    </w:pPr>
    <w:rPr>
      <w:rFonts w:eastAsia="Arial Unicode MS"/>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53552"/>
    <w:pPr>
      <w:tabs>
        <w:tab w:val="center" w:pos="4320"/>
        <w:tab w:val="right" w:pos="8640"/>
      </w:tabs>
    </w:pPr>
  </w:style>
  <w:style w:type="character" w:customStyle="1" w:styleId="FooterChar">
    <w:name w:val="Footer Char"/>
    <w:basedOn w:val="DefaultParagraphFont"/>
    <w:link w:val="Footer"/>
    <w:uiPriority w:val="99"/>
    <w:rsid w:val="00C53552"/>
    <w:rPr>
      <w:rFonts w:ascii="Times New Roman" w:eastAsia="Times New Roman" w:hAnsi="Times New Roman" w:cs="Times New Roman"/>
      <w:sz w:val="24"/>
      <w:szCs w:val="24"/>
    </w:rPr>
  </w:style>
  <w:style w:type="paragraph" w:styleId="Header">
    <w:name w:val="header"/>
    <w:basedOn w:val="Normal"/>
    <w:link w:val="HeaderChar"/>
    <w:rsid w:val="00C53552"/>
    <w:pPr>
      <w:tabs>
        <w:tab w:val="center" w:pos="4320"/>
        <w:tab w:val="right" w:pos="8640"/>
      </w:tabs>
    </w:pPr>
  </w:style>
  <w:style w:type="character" w:customStyle="1" w:styleId="HeaderChar">
    <w:name w:val="Header Char"/>
    <w:basedOn w:val="DefaultParagraphFont"/>
    <w:link w:val="Header"/>
    <w:rsid w:val="00C53552"/>
    <w:rPr>
      <w:rFonts w:ascii="Times New Roman" w:eastAsia="Times New Roman" w:hAnsi="Times New Roman" w:cs="Times New Roman"/>
      <w:sz w:val="24"/>
      <w:szCs w:val="24"/>
    </w:rPr>
  </w:style>
  <w:style w:type="character" w:styleId="PageNumber">
    <w:name w:val="page number"/>
    <w:basedOn w:val="DefaultParagraphFont"/>
    <w:rsid w:val="00C53552"/>
  </w:style>
  <w:style w:type="character" w:styleId="CommentReference">
    <w:name w:val="annotation reference"/>
    <w:semiHidden/>
    <w:rsid w:val="00C53552"/>
    <w:rPr>
      <w:sz w:val="18"/>
    </w:rPr>
  </w:style>
  <w:style w:type="paragraph" w:styleId="CommentText">
    <w:name w:val="annotation text"/>
    <w:basedOn w:val="Normal"/>
    <w:link w:val="CommentTextChar"/>
    <w:semiHidden/>
    <w:rsid w:val="00C53552"/>
  </w:style>
  <w:style w:type="character" w:customStyle="1" w:styleId="CommentTextChar">
    <w:name w:val="Comment Text Char"/>
    <w:basedOn w:val="DefaultParagraphFont"/>
    <w:link w:val="CommentText"/>
    <w:semiHidden/>
    <w:rsid w:val="00C53552"/>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C53552"/>
    <w:rPr>
      <w:rFonts w:ascii="Tahoma" w:hAnsi="Tahoma" w:cs="Tahoma"/>
      <w:sz w:val="16"/>
      <w:szCs w:val="16"/>
    </w:rPr>
  </w:style>
  <w:style w:type="character" w:customStyle="1" w:styleId="BalloonTextChar">
    <w:name w:val="Balloon Text Char"/>
    <w:basedOn w:val="DefaultParagraphFont"/>
    <w:link w:val="BalloonText"/>
    <w:semiHidden/>
    <w:rsid w:val="00C53552"/>
    <w:rPr>
      <w:rFonts w:ascii="Tahoma" w:eastAsia="Times New Roman" w:hAnsi="Tahoma" w:cs="Tahoma"/>
      <w:sz w:val="16"/>
      <w:szCs w:val="16"/>
    </w:rPr>
  </w:style>
  <w:style w:type="paragraph" w:styleId="ListBullet">
    <w:name w:val="List Bullet"/>
    <w:basedOn w:val="Normal"/>
    <w:uiPriority w:val="99"/>
    <w:unhideWhenUsed/>
    <w:rsid w:val="000473B1"/>
    <w:pPr>
      <w:numPr>
        <w:numId w:val="3"/>
      </w:numPr>
      <w:contextualSpacing/>
    </w:pPr>
  </w:style>
  <w:style w:type="paragraph" w:styleId="ListParagraph">
    <w:name w:val="List Paragraph"/>
    <w:basedOn w:val="Normal"/>
    <w:uiPriority w:val="34"/>
    <w:qFormat/>
    <w:rsid w:val="001D23C0"/>
    <w:pPr>
      <w:ind w:left="720"/>
      <w:contextualSpacing/>
    </w:pPr>
  </w:style>
  <w:style w:type="paragraph" w:styleId="CommentSubject">
    <w:name w:val="annotation subject"/>
    <w:basedOn w:val="CommentText"/>
    <w:next w:val="CommentText"/>
    <w:link w:val="CommentSubjectChar"/>
    <w:uiPriority w:val="99"/>
    <w:semiHidden/>
    <w:unhideWhenUsed/>
    <w:rsid w:val="007023D0"/>
    <w:rPr>
      <w:b/>
      <w:bCs/>
      <w:sz w:val="20"/>
      <w:szCs w:val="20"/>
    </w:rPr>
  </w:style>
  <w:style w:type="character" w:customStyle="1" w:styleId="CommentSubjectChar">
    <w:name w:val="Comment Subject Char"/>
    <w:basedOn w:val="CommentTextChar"/>
    <w:link w:val="CommentSubject"/>
    <w:uiPriority w:val="99"/>
    <w:semiHidden/>
    <w:rsid w:val="007023D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rsid w:val="00F42C96"/>
    <w:rPr>
      <w:rFonts w:ascii="Times New Roman" w:eastAsia="Arial Unicode MS" w:hAnsi="Times New Roman" w:cs="Times New Roman"/>
      <w:b/>
      <w:bCs/>
      <w:sz w:val="24"/>
      <w:szCs w:val="24"/>
    </w:rPr>
  </w:style>
  <w:style w:type="paragraph" w:styleId="Subtitle">
    <w:name w:val="Subtitle"/>
    <w:basedOn w:val="Normal"/>
    <w:link w:val="SubtitleChar"/>
    <w:uiPriority w:val="99"/>
    <w:qFormat/>
    <w:rsid w:val="002644AE"/>
    <w:pPr>
      <w:widowControl w:val="0"/>
      <w:tabs>
        <w:tab w:val="center" w:pos="4680"/>
      </w:tabs>
      <w:suppressAutoHyphens/>
      <w:autoSpaceDE w:val="0"/>
      <w:autoSpaceDN w:val="0"/>
      <w:adjustRightInd w:val="0"/>
      <w:spacing w:line="240" w:lineRule="atLeast"/>
      <w:jc w:val="center"/>
    </w:pPr>
    <w:rPr>
      <w:szCs w:val="20"/>
    </w:rPr>
  </w:style>
  <w:style w:type="character" w:customStyle="1" w:styleId="SubtitleChar">
    <w:name w:val="Subtitle Char"/>
    <w:basedOn w:val="DefaultParagraphFont"/>
    <w:link w:val="Subtitle"/>
    <w:uiPriority w:val="99"/>
    <w:rsid w:val="002644AE"/>
    <w:rPr>
      <w:rFonts w:ascii="Times New Roman" w:eastAsia="Times New Roman" w:hAnsi="Times New Roman" w:cs="Times New Roman"/>
      <w:sz w:val="24"/>
      <w:szCs w:val="20"/>
    </w:rPr>
  </w:style>
  <w:style w:type="paragraph" w:customStyle="1" w:styleId="armheading">
    <w:name w:val="arm heading"/>
    <w:basedOn w:val="Normal"/>
    <w:link w:val="armheadingChar"/>
    <w:uiPriority w:val="99"/>
    <w:rsid w:val="005F1ABA"/>
    <w:pPr>
      <w:widowControl w:val="0"/>
      <w:tabs>
        <w:tab w:val="left" w:pos="0"/>
        <w:tab w:val="left" w:pos="180"/>
        <w:tab w:val="left" w:pos="1620"/>
        <w:tab w:val="left" w:pos="5220"/>
        <w:tab w:val="left" w:pos="9618"/>
      </w:tabs>
      <w:suppressAutoHyphens/>
      <w:snapToGrid w:val="0"/>
      <w:spacing w:after="240"/>
      <w:jc w:val="center"/>
    </w:pPr>
    <w:rPr>
      <w:b/>
      <w:bCs/>
      <w:smallCaps/>
      <w:u w:val="single"/>
    </w:rPr>
  </w:style>
  <w:style w:type="character" w:customStyle="1" w:styleId="armheadingChar">
    <w:name w:val="arm heading Char"/>
    <w:basedOn w:val="DefaultParagraphFont"/>
    <w:link w:val="armheading"/>
    <w:uiPriority w:val="99"/>
    <w:locked/>
    <w:rsid w:val="005F1ABA"/>
    <w:rPr>
      <w:rFonts w:ascii="Times New Roman" w:eastAsia="Times New Roman" w:hAnsi="Times New Roman" w:cs="Times New Roman"/>
      <w:b/>
      <w:bCs/>
      <w:smallCaps/>
      <w:sz w:val="24"/>
      <w:szCs w:val="24"/>
      <w:u w:val="single"/>
    </w:rPr>
  </w:style>
  <w:style w:type="character" w:customStyle="1" w:styleId="Heading1Char">
    <w:name w:val="Heading 1 Char"/>
    <w:basedOn w:val="DefaultParagraphFont"/>
    <w:link w:val="Heading1"/>
    <w:uiPriority w:val="9"/>
    <w:rsid w:val="004574B6"/>
    <w:rPr>
      <w:rFonts w:asciiTheme="majorHAnsi" w:eastAsiaTheme="majorEastAsia" w:hAnsiTheme="majorHAnsi" w:cstheme="majorBidi"/>
      <w:color w:val="365F91" w:themeColor="accent1" w:themeShade="BF"/>
      <w:sz w:val="32"/>
      <w:szCs w:val="32"/>
    </w:rPr>
  </w:style>
  <w:style w:type="paragraph" w:customStyle="1" w:styleId="Body">
    <w:name w:val="Body"/>
    <w:rsid w:val="00460CE0"/>
    <w:pPr>
      <w:pBdr>
        <w:top w:val="nil"/>
        <w:left w:val="nil"/>
        <w:bottom w:val="nil"/>
        <w:right w:val="nil"/>
        <w:between w:val="nil"/>
        <w:bar w:val="nil"/>
      </w:pBdr>
      <w:spacing w:after="0"/>
    </w:pPr>
    <w:rPr>
      <w:rFonts w:ascii="Arial" w:eastAsia="Arial Unicode MS" w:hAnsi="Arial" w:cs="Arial Unicode MS"/>
      <w:color w:val="000000"/>
      <w:u w:color="000000"/>
      <w:bdr w:val="nil"/>
    </w:rPr>
  </w:style>
  <w:style w:type="table" w:styleId="TableGrid">
    <w:name w:val="Table Grid"/>
    <w:basedOn w:val="TableNormal"/>
    <w:uiPriority w:val="39"/>
    <w:rsid w:val="00460CE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460CE0"/>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rPr>
  </w:style>
  <w:style w:type="paragraph" w:customStyle="1" w:styleId="paragraph">
    <w:name w:val="paragraph"/>
    <w:basedOn w:val="Normal"/>
    <w:rsid w:val="00B813F1"/>
    <w:pPr>
      <w:spacing w:before="100" w:beforeAutospacing="1" w:after="100" w:afterAutospacing="1"/>
    </w:pPr>
  </w:style>
  <w:style w:type="character" w:customStyle="1" w:styleId="textrun">
    <w:name w:val="textrun"/>
    <w:basedOn w:val="DefaultParagraphFont"/>
    <w:rsid w:val="00B813F1"/>
  </w:style>
  <w:style w:type="character" w:customStyle="1" w:styleId="normaltextrun">
    <w:name w:val="normaltextrun"/>
    <w:basedOn w:val="DefaultParagraphFont"/>
    <w:rsid w:val="00B813F1"/>
  </w:style>
  <w:style w:type="character" w:customStyle="1" w:styleId="eop">
    <w:name w:val="eop"/>
    <w:basedOn w:val="DefaultParagraphFont"/>
    <w:rsid w:val="00B813F1"/>
  </w:style>
  <w:style w:type="paragraph" w:styleId="FootnoteText">
    <w:name w:val="footnote text"/>
    <w:basedOn w:val="Normal"/>
    <w:link w:val="FootnoteTextChar"/>
    <w:unhideWhenUsed/>
    <w:rsid w:val="00D6059D"/>
    <w:rPr>
      <w:sz w:val="20"/>
      <w:szCs w:val="20"/>
    </w:rPr>
  </w:style>
  <w:style w:type="character" w:customStyle="1" w:styleId="FootnoteTextChar">
    <w:name w:val="Footnote Text Char"/>
    <w:basedOn w:val="DefaultParagraphFont"/>
    <w:link w:val="FootnoteText"/>
    <w:rsid w:val="00D6059D"/>
    <w:rPr>
      <w:rFonts w:ascii="Times New Roman" w:eastAsia="Times New Roman" w:hAnsi="Times New Roman" w:cs="Times New Roman"/>
      <w:sz w:val="20"/>
      <w:szCs w:val="20"/>
    </w:rPr>
  </w:style>
  <w:style w:type="character" w:styleId="FootnoteReference">
    <w:name w:val="footnote reference"/>
    <w:basedOn w:val="DefaultParagraphFont"/>
    <w:unhideWhenUsed/>
    <w:rsid w:val="00D6059D"/>
    <w:rPr>
      <w:vertAlign w:val="superscript"/>
    </w:rPr>
  </w:style>
  <w:style w:type="character" w:styleId="Hyperlink">
    <w:name w:val="Hyperlink"/>
    <w:basedOn w:val="DefaultParagraphFont"/>
    <w:uiPriority w:val="99"/>
    <w:semiHidden/>
    <w:unhideWhenUsed/>
    <w:rsid w:val="00D6059D"/>
    <w:rPr>
      <w:color w:val="0000FF"/>
      <w:u w:val="single"/>
    </w:rPr>
  </w:style>
  <w:style w:type="paragraph" w:styleId="BodyText2">
    <w:name w:val="Body Text 2"/>
    <w:aliases w:val="bt2"/>
    <w:basedOn w:val="Normal"/>
    <w:link w:val="BodyText2Char"/>
    <w:rsid w:val="0002428D"/>
    <w:pPr>
      <w:spacing w:line="480" w:lineRule="auto"/>
    </w:pPr>
    <w:rPr>
      <w:rFonts w:asciiTheme="minorHAnsi" w:eastAsiaTheme="minorHAnsi" w:hAnsiTheme="minorHAnsi" w:cstheme="minorBidi"/>
    </w:rPr>
  </w:style>
  <w:style w:type="character" w:customStyle="1" w:styleId="BodyText2Char">
    <w:name w:val="Body Text 2 Char"/>
    <w:aliases w:val="bt2 Char"/>
    <w:basedOn w:val="DefaultParagraphFont"/>
    <w:link w:val="BodyText2"/>
    <w:rsid w:val="0002428D"/>
    <w:rPr>
      <w:sz w:val="24"/>
      <w:szCs w:val="24"/>
    </w:rPr>
  </w:style>
  <w:style w:type="paragraph" w:styleId="TOC2">
    <w:name w:val="toc 2"/>
    <w:basedOn w:val="Normal"/>
    <w:next w:val="Normal"/>
    <w:autoRedefine/>
    <w:semiHidden/>
    <w:rsid w:val="00F175A5"/>
    <w:pPr>
      <w:ind w:left="240"/>
    </w:pPr>
  </w:style>
  <w:style w:type="paragraph" w:styleId="BodyText">
    <w:name w:val="Body Text"/>
    <w:basedOn w:val="Normal"/>
    <w:link w:val="BodyTextChar"/>
    <w:uiPriority w:val="99"/>
    <w:semiHidden/>
    <w:unhideWhenUsed/>
    <w:rsid w:val="00B0165F"/>
    <w:pPr>
      <w:spacing w:after="120"/>
    </w:pPr>
  </w:style>
  <w:style w:type="character" w:customStyle="1" w:styleId="BodyTextChar">
    <w:name w:val="Body Text Char"/>
    <w:basedOn w:val="DefaultParagraphFont"/>
    <w:link w:val="BodyText"/>
    <w:uiPriority w:val="99"/>
    <w:semiHidden/>
    <w:rsid w:val="00B0165F"/>
    <w:rPr>
      <w:rFonts w:ascii="Times New Roman" w:eastAsia="Times New Roman" w:hAnsi="Times New Roman" w:cs="Times New Roman"/>
      <w:sz w:val="24"/>
      <w:szCs w:val="24"/>
    </w:rPr>
  </w:style>
  <w:style w:type="paragraph" w:styleId="BodyTextFirstIndent">
    <w:name w:val="Body Text First Indent"/>
    <w:basedOn w:val="BodyText"/>
    <w:link w:val="BodyTextFirstIndentChar"/>
    <w:uiPriority w:val="99"/>
    <w:semiHidden/>
    <w:unhideWhenUsed/>
    <w:rsid w:val="00B0165F"/>
    <w:pPr>
      <w:spacing w:after="0"/>
      <w:ind w:firstLine="360"/>
    </w:pPr>
  </w:style>
  <w:style w:type="character" w:customStyle="1" w:styleId="BodyTextFirstIndentChar">
    <w:name w:val="Body Text First Indent Char"/>
    <w:basedOn w:val="BodyTextChar"/>
    <w:link w:val="BodyTextFirstIndent"/>
    <w:uiPriority w:val="99"/>
    <w:semiHidden/>
    <w:rsid w:val="00B0165F"/>
    <w:rPr>
      <w:rFonts w:ascii="Times New Roman" w:eastAsia="Times New Roman" w:hAnsi="Times New Roman" w:cs="Times New Roman"/>
      <w:sz w:val="24"/>
      <w:szCs w:val="24"/>
    </w:rPr>
  </w:style>
  <w:style w:type="paragraph" w:styleId="NormalWeb">
    <w:name w:val="Normal (Web)"/>
    <w:basedOn w:val="Normal"/>
    <w:uiPriority w:val="99"/>
    <w:semiHidden/>
    <w:unhideWhenUsed/>
    <w:rsid w:val="00B72A54"/>
    <w:pPr>
      <w:spacing w:before="100" w:beforeAutospacing="1" w:after="100" w:afterAutospacing="1"/>
    </w:pPr>
  </w:style>
  <w:style w:type="character" w:styleId="Strong">
    <w:name w:val="Strong"/>
    <w:basedOn w:val="DefaultParagraphFont"/>
    <w:uiPriority w:val="22"/>
    <w:qFormat/>
    <w:rsid w:val="00B72A54"/>
    <w:rPr>
      <w:b/>
      <w:bCs/>
    </w:rPr>
  </w:style>
  <w:style w:type="character" w:customStyle="1" w:styleId="costarpage">
    <w:name w:val="co_starpage"/>
    <w:basedOn w:val="DefaultParagraphFont"/>
    <w:rsid w:val="003D7CD3"/>
  </w:style>
  <w:style w:type="paragraph" w:customStyle="1" w:styleId="VenueLine">
    <w:name w:val="VenueLine"/>
    <w:basedOn w:val="Normal"/>
    <w:rsid w:val="00F14AD7"/>
    <w:pPr>
      <w:spacing w:before="360" w:after="360"/>
      <w:jc w:val="center"/>
    </w:pPr>
    <w:rPr>
      <w:caps/>
    </w:rPr>
  </w:style>
  <w:style w:type="paragraph" w:customStyle="1" w:styleId="CaptionPartyType">
    <w:name w:val="CaptionPartyType"/>
    <w:basedOn w:val="Caption"/>
    <w:next w:val="Normal"/>
    <w:rsid w:val="00F14AD7"/>
    <w:pPr>
      <w:spacing w:before="120" w:after="120"/>
      <w:ind w:left="720"/>
    </w:pPr>
    <w:rPr>
      <w:i w:val="0"/>
      <w:iCs w:val="0"/>
      <w:color w:val="auto"/>
      <w:sz w:val="24"/>
      <w:szCs w:val="24"/>
    </w:rPr>
  </w:style>
  <w:style w:type="paragraph" w:styleId="Caption">
    <w:name w:val="caption"/>
    <w:basedOn w:val="Normal"/>
    <w:next w:val="Normal"/>
    <w:uiPriority w:val="35"/>
    <w:semiHidden/>
    <w:unhideWhenUsed/>
    <w:qFormat/>
    <w:rsid w:val="00F14AD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8275">
      <w:bodyDiv w:val="1"/>
      <w:marLeft w:val="0"/>
      <w:marRight w:val="0"/>
      <w:marTop w:val="0"/>
      <w:marBottom w:val="0"/>
      <w:divBdr>
        <w:top w:val="none" w:sz="0" w:space="0" w:color="auto"/>
        <w:left w:val="none" w:sz="0" w:space="0" w:color="auto"/>
        <w:bottom w:val="none" w:sz="0" w:space="0" w:color="auto"/>
        <w:right w:val="none" w:sz="0" w:space="0" w:color="auto"/>
      </w:divBdr>
    </w:div>
    <w:div w:id="146098227">
      <w:bodyDiv w:val="1"/>
      <w:marLeft w:val="0"/>
      <w:marRight w:val="0"/>
      <w:marTop w:val="0"/>
      <w:marBottom w:val="0"/>
      <w:divBdr>
        <w:top w:val="none" w:sz="0" w:space="0" w:color="auto"/>
        <w:left w:val="none" w:sz="0" w:space="0" w:color="auto"/>
        <w:bottom w:val="none" w:sz="0" w:space="0" w:color="auto"/>
        <w:right w:val="none" w:sz="0" w:space="0" w:color="auto"/>
      </w:divBdr>
    </w:div>
    <w:div w:id="359552523">
      <w:bodyDiv w:val="1"/>
      <w:marLeft w:val="0"/>
      <w:marRight w:val="0"/>
      <w:marTop w:val="0"/>
      <w:marBottom w:val="0"/>
      <w:divBdr>
        <w:top w:val="none" w:sz="0" w:space="0" w:color="auto"/>
        <w:left w:val="none" w:sz="0" w:space="0" w:color="auto"/>
        <w:bottom w:val="none" w:sz="0" w:space="0" w:color="auto"/>
        <w:right w:val="none" w:sz="0" w:space="0" w:color="auto"/>
      </w:divBdr>
    </w:div>
    <w:div w:id="479007019">
      <w:bodyDiv w:val="1"/>
      <w:marLeft w:val="0"/>
      <w:marRight w:val="0"/>
      <w:marTop w:val="0"/>
      <w:marBottom w:val="0"/>
      <w:divBdr>
        <w:top w:val="none" w:sz="0" w:space="0" w:color="auto"/>
        <w:left w:val="none" w:sz="0" w:space="0" w:color="auto"/>
        <w:bottom w:val="none" w:sz="0" w:space="0" w:color="auto"/>
        <w:right w:val="none" w:sz="0" w:space="0" w:color="auto"/>
      </w:divBdr>
    </w:div>
    <w:div w:id="742072451">
      <w:bodyDiv w:val="1"/>
      <w:marLeft w:val="0"/>
      <w:marRight w:val="0"/>
      <w:marTop w:val="0"/>
      <w:marBottom w:val="0"/>
      <w:divBdr>
        <w:top w:val="none" w:sz="0" w:space="0" w:color="auto"/>
        <w:left w:val="none" w:sz="0" w:space="0" w:color="auto"/>
        <w:bottom w:val="none" w:sz="0" w:space="0" w:color="auto"/>
        <w:right w:val="none" w:sz="0" w:space="0" w:color="auto"/>
      </w:divBdr>
    </w:div>
    <w:div w:id="747651813">
      <w:bodyDiv w:val="1"/>
      <w:marLeft w:val="0"/>
      <w:marRight w:val="0"/>
      <w:marTop w:val="0"/>
      <w:marBottom w:val="0"/>
      <w:divBdr>
        <w:top w:val="none" w:sz="0" w:space="0" w:color="auto"/>
        <w:left w:val="none" w:sz="0" w:space="0" w:color="auto"/>
        <w:bottom w:val="none" w:sz="0" w:space="0" w:color="auto"/>
        <w:right w:val="none" w:sz="0" w:space="0" w:color="auto"/>
      </w:divBdr>
    </w:div>
    <w:div w:id="866059725">
      <w:bodyDiv w:val="1"/>
      <w:marLeft w:val="0"/>
      <w:marRight w:val="0"/>
      <w:marTop w:val="0"/>
      <w:marBottom w:val="0"/>
      <w:divBdr>
        <w:top w:val="none" w:sz="0" w:space="0" w:color="auto"/>
        <w:left w:val="none" w:sz="0" w:space="0" w:color="auto"/>
        <w:bottom w:val="none" w:sz="0" w:space="0" w:color="auto"/>
        <w:right w:val="none" w:sz="0" w:space="0" w:color="auto"/>
      </w:divBdr>
      <w:divsChild>
        <w:div w:id="1608005970">
          <w:marLeft w:val="0"/>
          <w:marRight w:val="0"/>
          <w:marTop w:val="0"/>
          <w:marBottom w:val="0"/>
          <w:divBdr>
            <w:top w:val="none" w:sz="0" w:space="0" w:color="auto"/>
            <w:left w:val="none" w:sz="0" w:space="0" w:color="auto"/>
            <w:bottom w:val="none" w:sz="0" w:space="0" w:color="auto"/>
            <w:right w:val="none" w:sz="0" w:space="0" w:color="auto"/>
          </w:divBdr>
          <w:divsChild>
            <w:div w:id="429668922">
              <w:marLeft w:val="0"/>
              <w:marRight w:val="0"/>
              <w:marTop w:val="0"/>
              <w:marBottom w:val="0"/>
              <w:divBdr>
                <w:top w:val="none" w:sz="0" w:space="0" w:color="auto"/>
                <w:left w:val="none" w:sz="0" w:space="0" w:color="auto"/>
                <w:bottom w:val="none" w:sz="0" w:space="0" w:color="auto"/>
                <w:right w:val="none" w:sz="0" w:space="0" w:color="auto"/>
              </w:divBdr>
            </w:div>
          </w:divsChild>
        </w:div>
        <w:div w:id="490413012">
          <w:marLeft w:val="0"/>
          <w:marRight w:val="0"/>
          <w:marTop w:val="0"/>
          <w:marBottom w:val="0"/>
          <w:divBdr>
            <w:top w:val="none" w:sz="0" w:space="0" w:color="auto"/>
            <w:left w:val="none" w:sz="0" w:space="0" w:color="auto"/>
            <w:bottom w:val="none" w:sz="0" w:space="0" w:color="auto"/>
            <w:right w:val="none" w:sz="0" w:space="0" w:color="auto"/>
          </w:divBdr>
        </w:div>
      </w:divsChild>
    </w:div>
    <w:div w:id="1005743018">
      <w:bodyDiv w:val="1"/>
      <w:marLeft w:val="0"/>
      <w:marRight w:val="0"/>
      <w:marTop w:val="0"/>
      <w:marBottom w:val="0"/>
      <w:divBdr>
        <w:top w:val="none" w:sz="0" w:space="0" w:color="auto"/>
        <w:left w:val="none" w:sz="0" w:space="0" w:color="auto"/>
        <w:bottom w:val="none" w:sz="0" w:space="0" w:color="auto"/>
        <w:right w:val="none" w:sz="0" w:space="0" w:color="auto"/>
      </w:divBdr>
    </w:div>
    <w:div w:id="1128203542">
      <w:bodyDiv w:val="1"/>
      <w:marLeft w:val="0"/>
      <w:marRight w:val="0"/>
      <w:marTop w:val="0"/>
      <w:marBottom w:val="0"/>
      <w:divBdr>
        <w:top w:val="none" w:sz="0" w:space="0" w:color="auto"/>
        <w:left w:val="none" w:sz="0" w:space="0" w:color="auto"/>
        <w:bottom w:val="none" w:sz="0" w:space="0" w:color="auto"/>
        <w:right w:val="none" w:sz="0" w:space="0" w:color="auto"/>
      </w:divBdr>
    </w:div>
    <w:div w:id="1290818319">
      <w:bodyDiv w:val="1"/>
      <w:marLeft w:val="0"/>
      <w:marRight w:val="0"/>
      <w:marTop w:val="0"/>
      <w:marBottom w:val="0"/>
      <w:divBdr>
        <w:top w:val="none" w:sz="0" w:space="0" w:color="auto"/>
        <w:left w:val="none" w:sz="0" w:space="0" w:color="auto"/>
        <w:bottom w:val="none" w:sz="0" w:space="0" w:color="auto"/>
        <w:right w:val="none" w:sz="0" w:space="0" w:color="auto"/>
      </w:divBdr>
    </w:div>
    <w:div w:id="1310400616">
      <w:bodyDiv w:val="1"/>
      <w:marLeft w:val="0"/>
      <w:marRight w:val="0"/>
      <w:marTop w:val="0"/>
      <w:marBottom w:val="0"/>
      <w:divBdr>
        <w:top w:val="none" w:sz="0" w:space="0" w:color="auto"/>
        <w:left w:val="none" w:sz="0" w:space="0" w:color="auto"/>
        <w:bottom w:val="none" w:sz="0" w:space="0" w:color="auto"/>
        <w:right w:val="none" w:sz="0" w:space="0" w:color="auto"/>
      </w:divBdr>
    </w:div>
    <w:div w:id="1410925830">
      <w:bodyDiv w:val="1"/>
      <w:marLeft w:val="0"/>
      <w:marRight w:val="0"/>
      <w:marTop w:val="0"/>
      <w:marBottom w:val="0"/>
      <w:divBdr>
        <w:top w:val="none" w:sz="0" w:space="0" w:color="auto"/>
        <w:left w:val="none" w:sz="0" w:space="0" w:color="auto"/>
        <w:bottom w:val="none" w:sz="0" w:space="0" w:color="auto"/>
        <w:right w:val="none" w:sz="0" w:space="0" w:color="auto"/>
      </w:divBdr>
    </w:div>
    <w:div w:id="1422944813">
      <w:bodyDiv w:val="1"/>
      <w:marLeft w:val="0"/>
      <w:marRight w:val="0"/>
      <w:marTop w:val="0"/>
      <w:marBottom w:val="0"/>
      <w:divBdr>
        <w:top w:val="none" w:sz="0" w:space="0" w:color="auto"/>
        <w:left w:val="none" w:sz="0" w:space="0" w:color="auto"/>
        <w:bottom w:val="none" w:sz="0" w:space="0" w:color="auto"/>
        <w:right w:val="none" w:sz="0" w:space="0" w:color="auto"/>
      </w:divBdr>
    </w:div>
    <w:div w:id="1503159338">
      <w:bodyDiv w:val="1"/>
      <w:marLeft w:val="0"/>
      <w:marRight w:val="0"/>
      <w:marTop w:val="0"/>
      <w:marBottom w:val="0"/>
      <w:divBdr>
        <w:top w:val="none" w:sz="0" w:space="0" w:color="auto"/>
        <w:left w:val="none" w:sz="0" w:space="0" w:color="auto"/>
        <w:bottom w:val="none" w:sz="0" w:space="0" w:color="auto"/>
        <w:right w:val="none" w:sz="0" w:space="0" w:color="auto"/>
      </w:divBdr>
    </w:div>
    <w:div w:id="1617444876">
      <w:bodyDiv w:val="1"/>
      <w:marLeft w:val="0"/>
      <w:marRight w:val="0"/>
      <w:marTop w:val="0"/>
      <w:marBottom w:val="0"/>
      <w:divBdr>
        <w:top w:val="none" w:sz="0" w:space="0" w:color="auto"/>
        <w:left w:val="none" w:sz="0" w:space="0" w:color="auto"/>
        <w:bottom w:val="none" w:sz="0" w:space="0" w:color="auto"/>
        <w:right w:val="none" w:sz="0" w:space="0" w:color="auto"/>
      </w:divBdr>
    </w:div>
    <w:div w:id="1814062713">
      <w:bodyDiv w:val="1"/>
      <w:marLeft w:val="0"/>
      <w:marRight w:val="0"/>
      <w:marTop w:val="0"/>
      <w:marBottom w:val="0"/>
      <w:divBdr>
        <w:top w:val="none" w:sz="0" w:space="0" w:color="auto"/>
        <w:left w:val="none" w:sz="0" w:space="0" w:color="auto"/>
        <w:bottom w:val="none" w:sz="0" w:space="0" w:color="auto"/>
        <w:right w:val="none" w:sz="0" w:space="0" w:color="auto"/>
      </w:divBdr>
    </w:div>
    <w:div w:id="181857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9F166BD5BB4718A7BE7EC65EC5ED66"/>
        <w:category>
          <w:name w:val="General"/>
          <w:gallery w:val="placeholder"/>
        </w:category>
        <w:types>
          <w:type w:val="bbPlcHdr"/>
        </w:types>
        <w:behaviors>
          <w:behavior w:val="content"/>
        </w:behaviors>
        <w:guid w:val="{C47AE522-801B-4368-9AA8-5F82DE1A432B}"/>
      </w:docPartPr>
      <w:docPartBody>
        <w:p w:rsidR="00000000" w:rsidRDefault="00E03220" w:rsidP="00E03220">
          <w:pPr>
            <w:pStyle w:val="089F166BD5BB4718A7BE7EC65EC5ED66"/>
          </w:pPr>
          <w:r>
            <w:rPr>
              <w:rStyle w:val="PlaceholderText"/>
            </w:rPr>
            <w:t>AuthorDirectNo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20"/>
    <w:rsid w:val="00D32955"/>
    <w:rsid w:val="00E0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3220"/>
  </w:style>
  <w:style w:type="paragraph" w:customStyle="1" w:styleId="A5D5B1EA9E40488AA35195F4BC60605C">
    <w:name w:val="A5D5B1EA9E40488AA35195F4BC60605C"/>
    <w:rsid w:val="00E03220"/>
  </w:style>
  <w:style w:type="paragraph" w:customStyle="1" w:styleId="089F166BD5BB4718A7BE7EC65EC5ED66">
    <w:name w:val="089F166BD5BB4718A7BE7EC65EC5ED66"/>
    <w:rsid w:val="00E032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CE7E51-5EA7-4CCE-AA2A-DACF1617E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11</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Harvard Law School</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HLS User</dc:creator>
  <cp:lastModifiedBy>Matt</cp:lastModifiedBy>
  <cp:revision>5</cp:revision>
  <cp:lastPrinted>2020-04-28T14:19:00Z</cp:lastPrinted>
  <dcterms:created xsi:type="dcterms:W3CDTF">2020-05-07T16:52:00Z</dcterms:created>
  <dcterms:modified xsi:type="dcterms:W3CDTF">2020-05-07T19:40:00Z</dcterms:modified>
</cp:coreProperties>
</file>