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2pfwe114hk1" w:id="0"/>
      <w:bookmarkEnd w:id="0"/>
      <w:r w:rsidDel="00000000" w:rsidR="00000000" w:rsidRPr="00000000">
        <w:rPr>
          <w:rFonts w:ascii="Times New Roman" w:cs="Times New Roman" w:eastAsia="Times New Roman" w:hAnsi="Times New Roman"/>
          <w:b w:val="1"/>
          <w:bCs w:val="1"/>
          <w:sz w:val="24"/>
          <w:szCs w:val="24"/>
          <w:rtl w:val="0"/>
        </w:rPr>
        <w:t xml:space="preserve">Qualitative Investment Analysis - Brooks Phillips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yg400dba0n3" w:id="1"/>
      <w:bookmarkEnd w:id="1"/>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built this financial statement model to forecast Apple’s operating performance through 2024 and understand how changes in revenue growth, margins, capital allocation, and the balance sheet flow through the three financial statements. My primary question was whether Apple could continue compounding earnings despite slower growth in its core hardware business.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model produces several key takeaways:</w:t>
      </w:r>
    </w:p>
    <w:p w:rsidR="00000000" w:rsidDel="00000000" w:rsidP="00000000" w:rsidRDefault="00000000" w:rsidRPr="00000000" w14:paraId="0000000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grows from approximately $260 billion in 2019 to $360 billion in 2024, representing roughly a 6.7% CAGR.</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Adjusted EBITDA grows from approximately $82.5 billion to $113.1 billion, while net income increases from $55.3 billion to $74.8 billion.</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Diluted EPS grows faster than net income, reaching approximately $19.87 by 2024, primarily because of continued share repurchases and a declining diluted share count.</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revenue build shows an important shift in Apple's growth profile. iPhone revenue becomes relatively flat after 2020, while Services and Other Products provide a larger portion of incremental growth.</w:t>
      </w:r>
    </w:p>
    <w:p w:rsidR="00000000" w:rsidDel="00000000" w:rsidP="00000000" w:rsidRDefault="00000000" w:rsidRPr="00000000" w14:paraId="0000000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scenario analysis shows how sensitive earnings are to relatively modest changes in revenue growth and gross margin, reinforcing the importance of operating assumptions in the model.</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3jitf95nq2s" w:id="2"/>
      <w:bookmarkEnd w:id="2"/>
      <w:r w:rsidDel="00000000" w:rsidR="00000000" w:rsidRPr="00000000">
        <w:rPr>
          <w:rFonts w:ascii="Times New Roman" w:cs="Times New Roman" w:eastAsia="Times New Roman" w:hAnsi="Times New Roman"/>
          <w:b w:val="1"/>
          <w:bCs w:val="1"/>
          <w:sz w:val="24"/>
          <w:szCs w:val="24"/>
          <w:rtl w:val="0"/>
        </w:rPr>
        <w:t xml:space="preserve">Business &amp; Industry Analysis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operates a highly integrated consumer technology ecosystem spanning hardware, software, and services. The company generates the majority of its revenue from products such as iPhone, Mac, and iPad, while Services provides a recurring and increasingly important source of revenue.</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revenue build, I identified Services as one of the strongest structural growth drivers. I modeled Services growing at approximately 17.5% annually after 2020, compared with essentially flat modeled iPhone revenue. This suggests Apple's long-term growth profile is increasingly dependent on monetizing its installed base rather than relying solely on unit growth.</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also benefits from substantial brand strength, ecosystem integration, customer loyalty, and pricing power. At the same time, the model highlights the risks of operating in a mature hardware market where unit growth can be difficult and product cycles can materially affect results.</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ochgfq6ssi3" w:id="3"/>
      <w:bookmarkEnd w:id="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o7i5te207x5" w:id="4"/>
      <w:bookmarkEnd w:id="4"/>
      <w:r w:rsidDel="00000000" w:rsidR="00000000" w:rsidRPr="00000000">
        <w:rPr>
          <w:rFonts w:ascii="Times New Roman" w:cs="Times New Roman" w:eastAsia="Times New Roman" w:hAnsi="Times New Roman"/>
          <w:b w:val="1"/>
          <w:bCs w:val="1"/>
          <w:sz w:val="24"/>
          <w:szCs w:val="24"/>
          <w:rtl w:val="0"/>
        </w:rPr>
        <w:t xml:space="preserve">Financial Modeling Specific Takeaways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part of the model I am particularly proud of is how I connected the income statement, balance sheet, and cash flow statement rather than forecasting each independently. This allowed me to see how operating assumptions affect cash generation, working capital, capital expenditures, debt, equity, and ultimately EPS.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modeled capital allocation explicitly. Apple continues to generate significant operating cash flow while returning substantial capital through dividends and share repurchases. My model assumes approximately $73.1 billion of annual share repurchases, which materially reduces the diluted share count and helps explain why EPS growth outpaces net income growth.</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observation is that the balance sheet remains highly liquid despite aggressive capital returns. Cash and marketable securities remain well above $100 billion throughout the forecast period, while long-term debt remains relatively stable. This gives Apple substantial flexibility from a capital allocation perspective.</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2n72y3bsn3l" w:id="5"/>
      <w:bookmarkEnd w:id="5"/>
      <w:r w:rsidDel="00000000" w:rsidR="00000000" w:rsidRPr="00000000">
        <w:rPr>
          <w:rFonts w:ascii="Times New Roman" w:cs="Times New Roman" w:eastAsia="Times New Roman" w:hAnsi="Times New Roman"/>
          <w:b w:val="1"/>
          <w:bCs w:val="1"/>
          <w:sz w:val="24"/>
          <w:szCs w:val="24"/>
          <w:rtl w:val="0"/>
        </w:rPr>
        <w:t xml:space="preserve">Qualitative Drivers &amp; Risks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risk to my assumptions is slower-than-expected revenue growth. My model assumes approximately 6.9% annual revenue growth from 2021 onward, so a weaker hardware cycle, lower consumer demand, or slower Services adoption would have a meaningful impact on earnings.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 assumptions are another major driver. My sensitivity analysis shows that changes in gross margin combined with changes in revenue growth can move first-year forecast net income by several billion dollars. This reinforced for me that small changes to operating assumptions can have a significant impact on valuation and financial conclusions.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also has meaningful exposure to supply chain disruption, international markets, foreign exchange movements, regulation, and geopolitical tensions. These factors are difficult to fully capture in a spreadsheet but can materially affect margins, product availability, and demand.</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view Apple's capital allocation strategy as both a driver and a risk. Continued share repurchases can materially support EPS growth, but they also require Apple to sustain substantial free cash flow generation over time.</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model helped me move beyond simply forecasting financial statements. I used the model to connect Apple's business strategy to its financial performance and identify which operating assumptions actually drive the company's earnings power.</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