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Bristol-Myers Squibb: A Financial Strategy Analysis</w:t>
      </w:r>
    </w:p>
    <w:p w:rsidR="00000000" w:rsidDel="00000000" w:rsidP="00000000" w:rsidRDefault="00000000" w:rsidRPr="00000000" w14:paraId="00000002">
      <w:pPr>
        <w:spacing w:after="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Brooks Phillips</w:t>
      </w:r>
      <w:r w:rsidDel="00000000" w:rsidR="00000000" w:rsidRPr="00000000">
        <w:rPr>
          <w:rtl w:val="0"/>
        </w:rPr>
      </w:r>
    </w:p>
    <w:p w:rsidR="00000000" w:rsidDel="00000000" w:rsidP="00000000" w:rsidRDefault="00000000" w:rsidRPr="00000000" w14:paraId="00000003">
      <w:pPr>
        <w:pStyle w:val="Heading1"/>
        <w:spacing w:after="110" w:before="26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Introduction</w:t>
      </w:r>
      <w:r w:rsidDel="00000000" w:rsidR="00000000" w:rsidRPr="00000000">
        <w:rPr>
          <w:rtl w:val="0"/>
        </w:rPr>
      </w:r>
    </w:p>
    <w:p w:rsidR="00000000" w:rsidDel="00000000" w:rsidP="00000000" w:rsidRDefault="00000000" w:rsidRPr="00000000" w14:paraId="00000004">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Bristol-Myers Squibb (BMS) is a global biopharmaceutical company built around a portfolio of leading medicines in oncology, hematology, immunology, and cardiovascular disease, anchored by brands such as Eliquis, Opdivo, and Revlimid. The five fiscal years examined here, 2019 through 2023, open with the single event that defines BMS's financial story for the entire period: the approximately $74 billion acquisition of Celgene Corporation, which closed in November 2019 and nearly doubled the company's revenue base overnight, from $26.1 billion in 2019 to $42.5 billion in 2020. The deal brought BMS the world's leading multiple myeloma franchise, Revlimid and Pomalyst, along with a promising cell-therapy pipeline, but it was financed heavily with new debt and layered the balance sheet with tens of billions of dollars in acquired intangible assets that would need to be amortized, and in places impaired, over the following years.</w:t>
      </w:r>
    </w:p>
    <w:p w:rsidR="00000000" w:rsidDel="00000000" w:rsidP="00000000" w:rsidRDefault="00000000" w:rsidRPr="00000000" w14:paraId="00000005">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second acquisition, MyoKardia, closed in November 2020 for roughly $13.1 billion and contributed an $11.4 billion in-process research and development (IPRD) impairment charge that, combined with continued Celgene-related amortization, pushed BMS to a net loss for fiscal 2020. The five-year window therefore captures a company absorbing a transformative acquisition, working through the accounting and cash-flow consequences of that deal, and pivoting toward debt reduction and shareholder returns as the acquired intangible assets amortize off the books, even as Revlimid, the deal's original cash engine, begins to face generic competition. This analysis draws on the metrics calculated in the accompanying Financial Strategy model, cross-checked against BMS's SEC filings, to assess the company's operational efficiency, investment returns, and cash strategy over the period.</w:t>
      </w:r>
    </w:p>
    <w:p w:rsidR="00000000" w:rsidDel="00000000" w:rsidP="00000000" w:rsidRDefault="00000000" w:rsidRPr="00000000" w14:paraId="00000006">
      <w:pPr>
        <w:pStyle w:val="Heading1"/>
        <w:spacing w:after="110" w:before="26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Operational Efficiency</w:t>
      </w:r>
      <w:r w:rsidDel="00000000" w:rsidR="00000000" w:rsidRPr="00000000">
        <w:rPr>
          <w:rtl w:val="0"/>
        </w:rPr>
      </w:r>
    </w:p>
    <w:p w:rsidR="00000000" w:rsidDel="00000000" w:rsidP="00000000" w:rsidRDefault="00000000" w:rsidRPr="00000000" w14:paraId="00000007">
      <w:pPr>
        <w:pStyle w:val="Heading2"/>
        <w:spacing w:after="90" w:before="18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Profitability</w:t>
      </w:r>
      <w:r w:rsidDel="00000000" w:rsidR="00000000" w:rsidRPr="00000000">
        <w:rPr>
          <w:rtl w:val="0"/>
        </w:rPr>
      </w:r>
    </w:p>
    <w:p w:rsidR="00000000" w:rsidDel="00000000" w:rsidP="00000000" w:rsidRDefault="00000000" w:rsidRPr="00000000" w14:paraId="00000008">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BMS's underlying profitability is strong outside of one anomalous year. Net profit margin ran between 13% and 18% in four of the five years but collapsed to –21.2% in 2020, when net income swung to a $9.0 billion loss. That loss was not an operating breakdown; cost of products sold and marketing expense behaved normally. It was driven almost entirely by two non-cash, acquisition-related items: $9.7 billion of amortization on Celgene's acquired intangible assets and the $11.4 billion IPRD impairment tied to MyoKardia. Strip those out and 2020 was actually the company's best year for operating cash generation to that point ($14.1 billion). Margins recovered to 15.1% in 2021 and then improved steadily through 2023 (17.8% net margin, $8.0 billion of net income), helped by growth in Opdivo and Eliquis and by a fast-scaling “New Product Portfolio” (Reblozyl, Camzyos, Breyanzi, Opdualag, and others), which grew 77% in 2023 to $3.6 billion and is increasingly offsetting Revlimid's decline.</w:t>
      </w:r>
    </w:p>
    <w:p w:rsidR="00000000" w:rsidDel="00000000" w:rsidP="00000000" w:rsidRDefault="00000000" w:rsidRPr="00000000" w14:paraId="00000009">
      <w:pPr>
        <w:pStyle w:val="Heading2"/>
        <w:spacing w:after="90" w:before="18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Liquidity</w:t>
      </w:r>
      <w:r w:rsidDel="00000000" w:rsidR="00000000" w:rsidRPr="00000000">
        <w:rPr>
          <w:rtl w:val="0"/>
        </w:rPr>
      </w:r>
    </w:p>
    <w:p w:rsidR="00000000" w:rsidDel="00000000" w:rsidP="00000000" w:rsidRDefault="00000000" w:rsidRPr="00000000" w14:paraId="0000000A">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current ratio moved from 1.60x (2019) to 1.58x (2020), 1.52x (2021), 1.25x (2022), and back up to 1.43x (2023); the quick ratio followed a similar path, dipping to roughly 1.1x in 2022 before recovering. BMS's liquidity stayed comfortably above 1.0x throughout the period, meaning current assets always covered current liabilities, but the cushion visibly thinned in 2022, when net working capital fell to $5.4 billion, its lowest level in the five years, before rebounding to $9.5 billion in 2023. A ratio safely above 1.0x, paired with consistently large operating cash flow, indicates BMS has ample capacity to meet short-term obligations without relying on short-term financing to bridge liquidity gaps.</w:t>
      </w:r>
    </w:p>
    <w:p w:rsidR="00000000" w:rsidDel="00000000" w:rsidP="00000000" w:rsidRDefault="00000000" w:rsidRPr="00000000" w14:paraId="0000000B">
      <w:pPr>
        <w:pStyle w:val="Heading2"/>
        <w:spacing w:after="90" w:before="18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Leverage</w:t>
      </w:r>
      <w:r w:rsidDel="00000000" w:rsidR="00000000" w:rsidRPr="00000000">
        <w:rPr>
          <w:rtl w:val="0"/>
        </w:rPr>
      </w:r>
    </w:p>
    <w:p w:rsidR="00000000" w:rsidDel="00000000" w:rsidP="00000000" w:rsidRDefault="00000000" w:rsidRPr="00000000" w14:paraId="0000000C">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Debt-to-equity climbed from 1.52x (2019) to 2.13x (2020), eased slightly to 2.04x (2021), and drifted back up to 2.12x (2022) and 2.23x (2023). Leverage jumped immediately after the debt-financed Celgene deal and has stayed elevated, but the ratio's two moving parts tell different stories. In dollar terms, total liabilities actually declined from $78.2 billion (2019) to $65.7 billion (2023), and long-term debt was cut nearly in half between 2020 and 2022 (from $48.3 billion to $35.1 billion) before ticking back up modestly in 2023. What kept the ratio elevated is the denominator: shareholders' equity nearly halved, from $51.6 billion to $29.4 billion, as the 2020 net loss depleted retained earnings and years of aggressive share buybacks ($18.4 billion of treasury stock purchases from 2020–2023 alone) shrank the equity base faster than debt was retired. This is a leverage profile shaped more by capital-return policy than by deteriorating credit quality, consistent with BMS holding investment-grade, mid-to-high single-A credit ratings from Moody's and S&amp;P throughout the period. Interest coverage confirms the same picture: EBIT covered interest expense 6.1x to 7.6x in every profitable year, and only turned negative (–4.8x) in 2020, when the same non-cash charges that produced the net loss also produced negative EBIT.</w:t>
      </w:r>
    </w:p>
    <w:p w:rsidR="00000000" w:rsidDel="00000000" w:rsidP="00000000" w:rsidRDefault="00000000" w:rsidRPr="00000000" w14:paraId="0000000D">
      <w:pPr>
        <w:pStyle w:val="Heading2"/>
        <w:spacing w:after="90" w:before="18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Cash Flow</w:t>
      </w:r>
      <w:r w:rsidDel="00000000" w:rsidR="00000000" w:rsidRPr="00000000">
        <w:rPr>
          <w:rtl w:val="0"/>
        </w:rPr>
      </w:r>
    </w:p>
    <w:p w:rsidR="00000000" w:rsidDel="00000000" w:rsidP="00000000" w:rsidRDefault="00000000" w:rsidRPr="00000000" w14:paraId="0000000E">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Operating cash flow stayed well above $13 billion in every year following the Celgene deal ($14.1 billion in 2020, $16.2 billion in 2021, $13.1 billion in 2022, $13.9 billion in 2023), even in the year BMS reported a net loss, underscoring how much of the 2020 shortfall was a non-cash accounting event rather than a cash event. Free cash flow tracked closely with operating cash flow, since capital expenditures never exceeded $1.2 billion, or roughly 8% of operating cash flow, in any year. FCF ranged from $7.2 billion in 2019, while the company was still absorbing acquisition costs, to a peak of $15.2 billion in 2021. This is a capital-light, highly cash-generative profile typical of large-cap pharma: BMS outsources much of its manufacturing and prioritizes licensing and M&amp;A over building fixed assets, so free cash flow conversion from operating cash flow runs at 90% or better in most years.</w:t>
      </w:r>
      <w:r w:rsidDel="00000000" w:rsidR="00000000" w:rsidRPr="00000000">
        <w:rPr>
          <w:rtl w:val="0"/>
        </w:rPr>
      </w:r>
    </w:p>
    <w:p w:rsidR="00000000" w:rsidDel="00000000" w:rsidP="00000000" w:rsidRDefault="00000000" w:rsidRPr="00000000" w14:paraId="0000000F">
      <w:pPr>
        <w:pStyle w:val="Heading1"/>
        <w:spacing w:after="110" w:before="26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Investment and Growth</w:t>
      </w:r>
      <w:r w:rsidDel="00000000" w:rsidR="00000000" w:rsidRPr="00000000">
        <w:rPr>
          <w:rtl w:val="0"/>
        </w:rPr>
      </w:r>
    </w:p>
    <w:p w:rsidR="00000000" w:rsidDel="00000000" w:rsidP="00000000" w:rsidRDefault="00000000" w:rsidRPr="00000000" w14:paraId="00000010">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Return-on-investment metrics tell a story of recovery followed by genuine strengthening. Return on assets fell from 2.6% (2019, still absorbing the just-closed Celgene deal) to –7.6% (2020), then climbed steadily to 8.4% by 2023, the strongest of the five years, even as the asset base itself shrank by more than a quarter, from $129.9 billion to $95.2 billion. Return on equity shows the same pattern in more dramatic form, swinging from 6.7% to –23.8% and back up to 27.3% by 2023, amplified by the leverage discussed above: a shrinking equity base means the same dollar of net income produces a larger reported return.</w:t>
      </w:r>
    </w:p>
    <w:p w:rsidR="00000000" w:rsidDel="00000000" w:rsidP="00000000" w:rsidRDefault="00000000" w:rsidRPr="00000000" w14:paraId="00000011">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decline in total assets is worth separating from operating performance, because it is overwhelmingly an intangible-asset story rather than a sign of a shrinking operating business. “Other intangible assets,” the Celgene- and MyoKardia-related product rights and IPR&amp;D booked at acquisition, fell from $64.0 billion in 2019 to $27.1 billion in 2023, a $36.9 billion decline driven almost entirely by scheduled amortization and periodic impairment rather than by the sale of operating capacity. Goodwill also declined modestly, from $22.5 billion to $21.2 billion, reflecting occasional impairments rather than new acquisitions of comparable scale. Meanwhile property, plant and equipment, the asset investors would expect to shrink if BMS were reducing its actual manufacturing and commercial footprint, grew every year in the period, from $6.25 billion to $6.65 billion, indicating the company kept reinvesting in physical operating capacity even as the acquired intangibles ran off the books. In short, BMS's declining total-asset base is the normal amortization schedule of a large, debt- and intangible-heavy acquisition working its way through the balance sheet, not evidence of operational contraction.</w:t>
      </w:r>
    </w:p>
    <w:p w:rsidR="00000000" w:rsidDel="00000000" w:rsidP="00000000" w:rsidRDefault="00000000" w:rsidRPr="00000000" w14:paraId="00000012">
      <w:pPr>
        <w:spacing w:after="150" w:line="268" w:lineRule="auto"/>
        <w:jc w:val="both"/>
        <w:rPr>
          <w:rFonts w:ascii="Times New Roman" w:cs="Times New Roman" w:eastAsia="Times New Roman" w:hAnsi="Times New Roman"/>
          <w:b w:val="1"/>
          <w:bCs w:val="1"/>
          <w:color w:val="000000"/>
          <w:sz w:val="21"/>
          <w:szCs w:val="21"/>
        </w:rPr>
      </w:pPr>
      <w:r w:rsidDel="00000000" w:rsidR="00000000" w:rsidRPr="00000000">
        <w:rPr>
          <w:rFonts w:ascii="Times New Roman" w:cs="Times New Roman" w:eastAsia="Times New Roman" w:hAnsi="Times New Roman"/>
          <w:sz w:val="21"/>
          <w:szCs w:val="21"/>
          <w:rtl w:val="0"/>
        </w:rPr>
        <w:t xml:space="preserve">On the liability side, total liabilities fell from $78.2 billion to $65.7 billion, led by long-term debt reduction and a sharp decline in deferred income tax liabilities, from $6.5 billion to just $0.3 billion, which reflects the unwinding of deferred tax positions tied to the acquired intangibles as they amortize. BMS used the post-acquisition period to actively delever even while continuing to fund dividends, buybacks, and a steady stream of smaller bolt-on licensing deals (including Eisai, Agenus, and Prothena, disclosed in the FY2021 10-K), a sign of a management team allocating capital across debt reduction, shareholder returns, and pipeline replenishment at the same time rather than sequentially.</w:t>
      </w:r>
      <w:r w:rsidDel="00000000" w:rsidR="00000000" w:rsidRPr="00000000">
        <w:rPr>
          <w:rtl w:val="0"/>
        </w:rPr>
      </w:r>
    </w:p>
    <w:p w:rsidR="00000000" w:rsidDel="00000000" w:rsidP="00000000" w:rsidRDefault="00000000" w:rsidRPr="00000000" w14:paraId="00000013">
      <w:pPr>
        <w:pStyle w:val="Heading1"/>
        <w:spacing w:after="110" w:before="26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Cash Story</w:t>
      </w:r>
      <w:r w:rsidDel="00000000" w:rsidR="00000000" w:rsidRPr="00000000">
        <w:rPr>
          <w:rtl w:val="0"/>
        </w:rPr>
      </w:r>
    </w:p>
    <w:p w:rsidR="00000000" w:rsidDel="00000000" w:rsidP="00000000" w:rsidRDefault="00000000" w:rsidRPr="00000000" w14:paraId="00000014">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BMS's four-year cash story for 2020–2023 is dominated by one item: the run-off of acquired intangible assets. The shrinking “other intangible assets” balance shows up as a $36.9 billion cumulative “source” of cash, by far the largest single line in the analysis, but it is important to understand what this really represents. It is non-cash amortization and impairment reducing the carrying value of the Celgene and MyoKardia intangibles, not $36.9 billion of cash actually flowing into the company. The balance sheet is mechanically recording that a large acquired asset is being consumed. The real cash engine sits in the income and cash flow statements: operating cash flow that stayed above $13 billion in every single year of the period.</w:t>
      </w:r>
    </w:p>
    <w:p w:rsidR="00000000" w:rsidDel="00000000" w:rsidP="00000000" w:rsidRDefault="00000000" w:rsidRPr="00000000" w14:paraId="00000015">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What the framework captures faithfully is where BMS chose to deploy the real cash it generated. The single largest use of cash over 2020–2023 was share repurchases, $18.4 billion of treasury stock purchases, more than any other line item, including debt paydown. Long-term debt was a net use of cash of $6.7 billion, reflecting the choice to delever after the Celgene financing, and retained earnings were a net use of $5.7 billion, though that figure is almost entirely explained by the one-time $13.2 billion hit from the 2020 net loss; excluding 2020, growing retained earnings from profitable 2021–2023 net income, net of dividends, would have been a source rather than a use. Net working capital was a modest net source of cash over the period ($1.5 billion), swinging between a $6.0 billion source in 2022, when receivables and inventory management freed up cash, and a use in the other three years.</w:t>
      </w:r>
      <w:r w:rsidDel="00000000" w:rsidR="00000000" w:rsidRPr="00000000">
        <w:rPr>
          <w:rtl w:val="0"/>
        </w:rPr>
      </w:r>
    </w:p>
    <w:p w:rsidR="00000000" w:rsidDel="00000000" w:rsidP="00000000" w:rsidRDefault="00000000" w:rsidRPr="00000000" w14:paraId="00000016">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Put together, the cash story of BMS over this period is one of capital return, not capital accumulation. As the Celgene-related intangibles amortized off the balance sheet and operating cash flow remained consistently strong, BMS directed the large majority of discretionary cash toward buybacks (over $18 billion) and rising dividends, which grew from $4.1 billion in 2020 to $4.7 billion in 2023 ($2.01 to $2.31 per share), while making steady but secondary progress on debt reduction. Capital expenditure, by contrast, remained a minor call on cash throughout, never exceeding $1.2 billion a year, reinforcing that BMS's strategy leans on licensing and M&amp;A, not internal fixed-asset buildout, to renew its product pipeline.</w:t>
      </w:r>
    </w:p>
    <w:p w:rsidR="00000000" w:rsidDel="00000000" w:rsidP="00000000" w:rsidRDefault="00000000" w:rsidRPr="00000000" w14:paraId="00000017">
      <w:pPr>
        <w:pStyle w:val="Heading1"/>
        <w:spacing w:after="110" w:before="260" w:lineRule="auto"/>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Conclusion</w:t>
      </w:r>
      <w:r w:rsidDel="00000000" w:rsidR="00000000" w:rsidRPr="00000000">
        <w:rPr>
          <w:rtl w:val="0"/>
        </w:rPr>
      </w:r>
    </w:p>
    <w:p w:rsidR="00000000" w:rsidDel="00000000" w:rsidP="00000000" w:rsidRDefault="00000000" w:rsidRPr="00000000" w14:paraId="00000018">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BMS's financial strategy over 2019–2023 reads as a coherent, three-phase plan: acquire scale and pipeline depth through the Celgene deal in 2019, absorb and delever through 2020–2022, and return capital to shareholders as the newly launched growth portfolio takes over from the assets being amortized off the books from 2022 onward. Profitability, liquidity, and cash generation are all fundamentally sound, with operating cash flow above $13 billion in every single year, interest coverage comfortably above 6x in every profitable year, and a current ratio that never fell below 1.0x. The 2020 net loss, while alarming on its face, is best read as a non-cash acquisition-accounting event rather than a signal of operating distress.</w:t>
      </w:r>
    </w:p>
    <w:p w:rsidR="00000000" w:rsidDel="00000000" w:rsidP="00000000" w:rsidRDefault="00000000" w:rsidRPr="00000000" w14:paraId="00000019">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clearest risk is exposure to patent cliffs. Revlimid, which alone has been one of BMS's largest revenue contributors, began facing generic competition in key markets starting in 2022, and the company's own FY2023 filing attributes both the 2023 revenue decline of 2% and softer international sales directly to Revlimid and Eliquis generic erosion. Debt-to-equity near 2.2x, while manageable given cash flow and investment-grade ratings, leaves less room to absorb a second major setback, and the equity base has shrunk enough, nearly halving since 2019, that continued buybacks at the current pace could keep leverage ratios elevated even as absolute debt continues to fall.</w:t>
      </w:r>
    </w:p>
    <w:p w:rsidR="00000000" w:rsidDel="00000000" w:rsidP="00000000" w:rsidRDefault="00000000" w:rsidRPr="00000000" w14:paraId="0000001A">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clearest opportunity is the New Product Portfolio, which grew 77% in 2023 and is explicitly positioned by management to replace Revlimid-era cash flow. BMS's capital-light model, with capital expenditure consistently under roughly 9% of operating cash flow, gives it the flexibility to keep funding that pipeline, both organically and through continued bolt-on licensing, without straining the balance sheet, provided management balances new deal-making against the pace of buybacks that has been the dominant use of cash since 2020.</w:t>
      </w:r>
    </w:p>
    <w:p w:rsidR="00000000" w:rsidDel="00000000" w:rsidP="00000000" w:rsidRDefault="00000000" w:rsidRPr="00000000" w14:paraId="0000001B">
      <w:pPr>
        <w:spacing w:after="150" w:line="26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Overall, BMS's financial strategy in this period is best summarized as using a capital-light, high-margin core business to fund an aggressive, largely debt-financed acquisition, then spending several years converting the resulting cash generation into shareholder returns while racing to replace the acquired revenue base before it erodes. The metrics through 2023 suggest that race is being run successfully, but Revlimid's ongoing patent cliff and the still-elevated leverage ratio are the two variables most worth watching going forward.</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