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Bristol-Myers Squibb: An Analysis of Operational Strategy (FY2019–FY2023)</w:t>
      </w:r>
    </w:p>
    <w:p>
      <w:pPr>
        <w:pStyle w:val="Heading2"/>
        <w:spacing w:after="120" w:before="200"/>
      </w:pPr>
      <w:r>
        <w:rPr>
          <w:rFonts w:ascii="Times New Roman" w:cs="Times New Roman" w:eastAsia="Times New Roman" w:hAnsi="Times New Roman"/>
          <w:b/>
          <w:bCs/>
          <w:sz w:val="26"/>
          <w:szCs w:val="26"/>
        </w:rPr>
        <w:t xml:space="preserve">Introduction</w:t>
      </w:r>
    </w:p>
    <w:p>
      <w:pPr>
        <w:spacing w:after="120" w:line="240"/>
        <w:jc w:val="both"/>
      </w:pPr>
      <w:r>
        <w:rPr>
          <w:rFonts w:ascii="Times New Roman" w:cs="Times New Roman" w:eastAsia="Times New Roman" w:hAnsi="Times New Roman"/>
          <w:sz w:val="24"/>
          <w:szCs w:val="24"/>
        </w:rPr>
        <w:t xml:space="preserve">Bristol-Myers Squibb (BMS) is a global biopharmaceutical company headquartered in New York, competing in oncology, hematology, cardiovascular disease, immunology, and neuroscience. Following its $74 billion acquisition of Celgene in November 2019, BMS became one of the largest branded pharmaceutical companies in the world, with a portfolio anchored by high-value, patent-protected medicines and biologics such as Opdivo, Eliquis, Revlimid, and, more recently, cell therapies like Breyanzi. This analysis examines BMS's financial results for fiscal years 2019–2023, drawn from its Form 10-K and Annual Report filings, to assess how the company manages costs, uses its assets, and allocates capital — and what those choices reveal about its operational strategy.</w:t>
      </w:r>
    </w:p>
    <w:p>
      <w:pPr>
        <w:pStyle w:val="Heading2"/>
        <w:spacing w:after="120" w:before="200"/>
      </w:pPr>
      <w:r>
        <w:rPr>
          <w:rFonts w:ascii="Times New Roman" w:cs="Times New Roman" w:eastAsia="Times New Roman" w:hAnsi="Times New Roman"/>
          <w:b/>
          <w:bCs/>
          <w:sz w:val="26"/>
          <w:szCs w:val="26"/>
        </w:rPr>
        <w:t xml:space="preserve">Operational Strategy</w:t>
      </w:r>
    </w:p>
    <w:p>
      <w:pPr>
        <w:spacing w:after="120" w:line="240"/>
        <w:jc w:val="both"/>
      </w:pPr>
      <w:r>
        <w:rPr>
          <w:rFonts w:ascii="Times New Roman" w:cs="Times New Roman" w:eastAsia="Times New Roman" w:hAnsi="Times New Roman"/>
          <w:sz w:val="24"/>
          <w:szCs w:val="24"/>
        </w:rPr>
        <w:t xml:space="preserve">BMS's Gross Profit Margin rose from about 69% in 2019 to a peak of nearly 79% in 2021, settling around 76% in 2023. Margins in this range are characteristic of a company competing on the strength of patent-protected, high-value therapeutics rather than on volume or price. BMS is clearly prioritizing quality, innovation, and brand strength over scale-driven, low-margin competition.</w:t>
      </w:r>
    </w:p>
    <w:p>
      <w:pPr>
        <w:spacing w:after="120" w:line="240"/>
        <w:jc w:val="both"/>
      </w:pPr>
      <w:r>
        <w:rPr>
          <w:rFonts w:ascii="Times New Roman" w:cs="Times New Roman" w:eastAsia="Times New Roman" w:hAnsi="Times New Roman"/>
          <w:sz w:val="24"/>
          <w:szCs w:val="24"/>
        </w:rPr>
        <w:t xml:space="preserve">Operating performance (measured here using pre-tax earnings, the closest available line item) tells a more complicated story: the 19% margin in 2019 flipped to a loss of roughly 16% in 2020, before recovering to 17–19% in 2021–2023. That swing was driven almost entirely by an $11.4 billion in-process R&amp;D charge tied to the MyoKardia acquisition, which GAAP requires the company to expense immediately rather than capitalize. This is a hallmark of a growth-through-acquisition strategy: BMS accepts large, one-time non-cash hits to earnings in years it makes major purchases, in exchange for adding new disease-area platforms — in this case, MyoKardia's cardiomyopathy pipeline, which became Camzyos.</w:t>
      </w:r>
    </w:p>
    <w:p>
      <w:pPr>
        <w:spacing w:after="120" w:line="240"/>
        <w:jc w:val="both"/>
      </w:pPr>
      <w:r>
        <w:rPr>
          <w:rFonts w:ascii="Times New Roman" w:cs="Times New Roman" w:eastAsia="Times New Roman" w:hAnsi="Times New Roman"/>
          <w:sz w:val="24"/>
          <w:szCs w:val="24"/>
        </w:rPr>
        <w:t xml:space="preserve">Inventory Turnover climbed sharply from 2.94x in 2019 to 4.77x in 2021, before easing slightly to 4.28x in 2023. The low 2019 figure reflects an inventory step-up from the Celgene deal (acquired inventory is revalued to fair value, temporarily inflating the balance); as that inventory sold through in 2020–2021, turnover normalized to a healthier level. BMS is not stockpiling inventory defensively; rather, it runs a lean supply chain appropriate for high-value specialty drugs that do not require large physical inventory buffers relative to revenue.</w:t>
      </w:r>
    </w:p>
    <w:p>
      <w:pPr>
        <w:spacing w:after="120" w:line="240"/>
        <w:jc w:val="both"/>
      </w:pPr>
      <w:r>
        <w:rPr>
          <w:rFonts w:ascii="Times New Roman" w:cs="Times New Roman" w:eastAsia="Times New Roman" w:hAnsi="Times New Roman"/>
          <w:sz w:val="24"/>
          <w:szCs w:val="24"/>
        </w:rPr>
        <w:t xml:space="preserve">Asset Turnover is consistently low, ranging from 0.32 in 2019 to 0.47 in 2023, but this is typical of large branded pharma rather than a sign of poor asset utilization. Celgene added tens of billions in goodwill and intangible assets to BMS's balance sheet, and Total Assets have declined steadily from $130 billion (2019) to $95 billion (2023) as those intangibles amortize, even as revenue held roughly steady near $45–$46 billion. BMS is asset-rich in intellectual property rather than physical plant, and its improving asset turnover reflects intangibles amortizing down, not a change in operating efficiency.</w:t>
      </w:r>
    </w:p>
    <w:p>
      <w:pPr>
        <w:pStyle w:val="Heading2"/>
        <w:spacing w:after="120" w:before="200"/>
      </w:pPr>
      <w:r>
        <w:rPr>
          <w:rFonts w:ascii="Times New Roman" w:cs="Times New Roman" w:eastAsia="Times New Roman" w:hAnsi="Times New Roman"/>
          <w:b/>
          <w:bCs/>
          <w:sz w:val="26"/>
          <w:szCs w:val="26"/>
        </w:rPr>
        <w:t xml:space="preserve">Marketing</w:t>
      </w:r>
    </w:p>
    <w:p>
      <w:pPr>
        <w:spacing w:after="120" w:line="240"/>
        <w:jc w:val="both"/>
      </w:pPr>
      <w:r>
        <w:rPr>
          <w:rFonts w:ascii="Times New Roman" w:cs="Times New Roman" w:eastAsia="Times New Roman" w:hAnsi="Times New Roman"/>
          <w:sz w:val="24"/>
          <w:szCs w:val="24"/>
        </w:rPr>
        <w:t xml:space="preserve">BMS sells to several distinct customer types, each with a different value proposition. Physicians and specialists are the primary prescribers; for them, the value proposition is clinical efficacy and safety data that differentiate a BMS therapy, such as Opdivo's immuno-oncology mechanism or Camzyos's targeted action in hypertrophic cardiomyopathy. Patients are the ultimate end users, and the value proposition centers on improved outcomes and quality of life, supported by patient assistance and copay programs. Payers, pharmacy benefit managers, and government programs such as Medicare represent an increasingly influential segment; for them, BMS's value proposition rests on real-world evidence and health-economic data justifying formulary placement and reimbursement — a relationship made more complex by Medicare's new drug price negotiation authority. Wholesalers such as McKesson, Cardinal Health, and Cencora physically move BMS products through the U.S. supply chain; here, the value proposition is reliable, large-scale, consistent availability under long-standing inventory management agreements. Finally, hospitals and specialty pharmacies are critical partners for complex biologics and cell therapies like Breyanzi, which require specialized handling BMS supports directly.</w:t>
      </w:r>
    </w:p>
    <w:p>
      <w:pPr>
        <w:pStyle w:val="Heading2"/>
        <w:spacing w:after="120" w:before="200"/>
      </w:pPr>
      <w:r>
        <w:rPr>
          <w:rFonts w:ascii="Times New Roman" w:cs="Times New Roman" w:eastAsia="Times New Roman" w:hAnsi="Times New Roman"/>
          <w:b/>
          <w:bCs/>
          <w:sz w:val="26"/>
          <w:szCs w:val="26"/>
        </w:rPr>
        <w:t xml:space="preserve">Investment and Growth</w:t>
      </w:r>
    </w:p>
    <w:p>
      <w:pPr>
        <w:spacing w:after="120" w:line="240"/>
        <w:jc w:val="both"/>
      </w:pPr>
      <w:r>
        <w:rPr>
          <w:rFonts w:ascii="Times New Roman" w:cs="Times New Roman" w:eastAsia="Times New Roman" w:hAnsi="Times New Roman"/>
          <w:sz w:val="24"/>
          <w:szCs w:val="24"/>
        </w:rPr>
        <w:t xml:space="preserve">BMS generates substantial, generally growing free cash flow, from $7.2 billion in 2019 to a peak of $15.2 billion in 2021, moderating to $11.9–$12.7 billion in 2022–2023. Capital expenditures stay modest relative to revenue, with a CapEx-to-Sales ratio ranging narrowly from about 1.8% to 3.2%. BMS's growth strategy is clearly not built on expanding physical manufacturing capacity; it is capital-light in plant and equipment.</w:t>
      </w:r>
    </w:p>
    <w:p>
      <w:pPr>
        <w:spacing w:after="120" w:line="240"/>
        <w:jc w:val="both"/>
      </w:pPr>
      <w:r>
        <w:rPr>
          <w:rFonts w:ascii="Times New Roman" w:cs="Times New Roman" w:eastAsia="Times New Roman" w:hAnsi="Times New Roman"/>
          <w:sz w:val="24"/>
          <w:szCs w:val="24"/>
        </w:rPr>
        <w:t xml:space="preserve">Instead, BMS reinvests through acquisitions of external innovation. Spending on acquisitions and licensing was enormous in 2019 ($24.6 billion, largely Celgene) and 2020 ($13.1 billion, largely MyoKardia), then fell sharply to $1.6–$4.3 billion in 2021–2023 as the company focused on integration and debt reduction — long-term debt declined from $43.4 billion in 2019 to $36.7 billion in 2023. At the same time, BMS returned significant capital to shareholders: dividends rose steadily from $2.7 billion to $4.7 billion, and share repurchases ranged from $1.5 billion to $8.0 billion annually, signaling confidence even during heavy deleveraging. Late in 2023, BMS returned to acquisitive growth, agreeing to acquire Mirati Therapeutics ($5.8 billion) and Karuna Therapeutics ($14 billion) to replenish its pipeline ahead of Revlimid's loss of patent exclusivity, whose revenue fell from roughly $12.9 billion in 2021 to about $6 billion in 2023 following generic entry.</w:t>
      </w:r>
    </w:p>
    <w:p>
      <w:pPr>
        <w:pStyle w:val="Heading2"/>
        <w:spacing w:after="120" w:before="200"/>
      </w:pPr>
      <w:r>
        <w:rPr>
          <w:rFonts w:ascii="Times New Roman" w:cs="Times New Roman" w:eastAsia="Times New Roman" w:hAnsi="Times New Roman"/>
          <w:b/>
          <w:bCs/>
          <w:sz w:val="26"/>
          <w:szCs w:val="26"/>
        </w:rPr>
        <w:t xml:space="preserve">Conclusion</w:t>
      </w:r>
    </w:p>
    <w:p>
      <w:pPr>
        <w:spacing w:after="120" w:line="240"/>
        <w:jc w:val="both"/>
      </w:pPr>
      <w:r>
        <w:rPr>
          <w:rFonts w:ascii="Times New Roman" w:cs="Times New Roman" w:eastAsia="Times New Roman" w:hAnsi="Times New Roman"/>
          <w:sz w:val="24"/>
          <w:szCs w:val="24"/>
        </w:rPr>
        <w:t xml:space="preserve">Taken together, the metrics point to an operational strategy built on premium, patent-protected pricing rather than volume; a lean, capital-light physical operation; and a capital allocation approach that prioritizes acquiring external innovation over building internal manufacturing capacity. This strategy has produced strong cash generation and shareholder returns, but it carries real risk: BMS depends on a relatively small number of blockbuster drugs, and the Revlimid patent cliff shows how quickly lost exclusivity can erode revenue. Similar cliffs loom for other key products later this decade, and further large acquisitions bring integration and goodwill-impairment risk. At the same time, BMS's strong free cash flow, improving asset turnover as legacy intangibles amortize, and diversification across oncology, cardiovascular, immunology, and neuroscience give it the flexibility to keep replacing lost revenue and sustain its operational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2026-09-16T03:58:11.821Z</dcterms:created>
  <dcterms:modified xsi:type="dcterms:W3CDTF">2026-09-16T03:58:11.821Z</dcterms:modified>
</cp:coreProperties>
</file>

<file path=docProps/custom.xml><?xml version="1.0" encoding="utf-8"?>
<Properties xmlns="http://schemas.openxmlformats.org/officeDocument/2006/custom-properties" xmlns:vt="http://schemas.openxmlformats.org/officeDocument/2006/docPropsVTypes"/>
</file>