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8q48x1fo27b" w:id="0"/>
      <w:bookmarkEnd w:id="0"/>
      <w:r w:rsidDel="00000000" w:rsidR="00000000" w:rsidRPr="00000000">
        <w:rPr>
          <w:rFonts w:ascii="Times New Roman" w:cs="Times New Roman" w:eastAsia="Times New Roman" w:hAnsi="Times New Roman"/>
          <w:b w:val="1"/>
          <w:bCs w:val="1"/>
          <w:sz w:val="24"/>
          <w:szCs w:val="24"/>
          <w:rtl w:val="0"/>
        </w:rPr>
        <w:t xml:space="preserve">Qualitative Investment Analysis - Brooks Phillips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yim405r4ojx" w:id="1"/>
      <w:bookmarkEnd w:id="1"/>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built this DCF to value Apple using a forecast of unlevered free cash flow and two complementary terminal value approaches. My primary investment question was whether Apple's expected cash flow generation could justify a valuation above its market price while accounting for the risks embedded in the discount rate and terminal assumptions.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model produces two distinct valuation outcomes:</w:t>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perpetuity growth method produces an equity value of approximately </w:t>
      </w:r>
      <w:r w:rsidDel="00000000" w:rsidR="00000000" w:rsidRPr="00000000">
        <w:rPr>
          <w:rFonts w:ascii="Times New Roman" w:cs="Times New Roman" w:eastAsia="Times New Roman" w:hAnsi="Times New Roman"/>
          <w:b w:val="1"/>
          <w:bCs w:val="1"/>
          <w:sz w:val="24"/>
          <w:szCs w:val="24"/>
          <w:rtl w:val="0"/>
        </w:rPr>
        <w:t xml:space="preserve">$318.86 per share</w:t>
      </w:r>
      <w:r w:rsidDel="00000000" w:rsidR="00000000" w:rsidRPr="00000000">
        <w:rPr>
          <w:rFonts w:ascii="Times New Roman" w:cs="Times New Roman" w:eastAsia="Times New Roman" w:hAnsi="Times New Roman"/>
          <w:sz w:val="24"/>
          <w:szCs w:val="24"/>
          <w:rtl w:val="0"/>
        </w:rPr>
        <w:t xml:space="preserve"> using a 3.0% terminal growth rate.</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EBITDA multiple method produces an equity value of approximately </w:t>
      </w:r>
      <w:r w:rsidDel="00000000" w:rsidR="00000000" w:rsidRPr="00000000">
        <w:rPr>
          <w:rFonts w:ascii="Times New Roman" w:cs="Times New Roman" w:eastAsia="Times New Roman" w:hAnsi="Times New Roman"/>
          <w:b w:val="1"/>
          <w:bCs w:val="1"/>
          <w:sz w:val="24"/>
          <w:szCs w:val="24"/>
          <w:rtl w:val="0"/>
        </w:rPr>
        <w:t xml:space="preserve">$267.90 per share</w:t>
      </w:r>
      <w:r w:rsidDel="00000000" w:rsidR="00000000" w:rsidRPr="00000000">
        <w:rPr>
          <w:rFonts w:ascii="Times New Roman" w:cs="Times New Roman" w:eastAsia="Times New Roman" w:hAnsi="Times New Roman"/>
          <w:sz w:val="24"/>
          <w:szCs w:val="24"/>
          <w:rtl w:val="0"/>
        </w:rPr>
        <w:t xml:space="preserve"> using a terminal EBITDA multiple.</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modeled share price is </w:t>
      </w:r>
      <w:r w:rsidDel="00000000" w:rsidR="00000000" w:rsidRPr="00000000">
        <w:rPr>
          <w:rFonts w:ascii="Times New Roman" w:cs="Times New Roman" w:eastAsia="Times New Roman" w:hAnsi="Times New Roman"/>
          <w:b w:val="1"/>
          <w:bCs w:val="1"/>
          <w:sz w:val="24"/>
          <w:szCs w:val="24"/>
          <w:rtl w:val="0"/>
        </w:rPr>
        <w:t xml:space="preserve">$273.52</w:t>
      </w:r>
      <w:r w:rsidDel="00000000" w:rsidR="00000000" w:rsidRPr="00000000">
        <w:rPr>
          <w:rFonts w:ascii="Times New Roman" w:cs="Times New Roman" w:eastAsia="Times New Roman" w:hAnsi="Times New Roman"/>
          <w:sz w:val="24"/>
          <w:szCs w:val="24"/>
          <w:rtl w:val="0"/>
        </w:rPr>
        <w:t xml:space="preserve">, putting the two valuation methods on opposite sides of the market price.</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UFCF increases from approximately </w:t>
      </w:r>
      <w:r w:rsidDel="00000000" w:rsidR="00000000" w:rsidRPr="00000000">
        <w:rPr>
          <w:rFonts w:ascii="Times New Roman" w:cs="Times New Roman" w:eastAsia="Times New Roman" w:hAnsi="Times New Roman"/>
          <w:b w:val="1"/>
          <w:bCs w:val="1"/>
          <w:sz w:val="24"/>
          <w:szCs w:val="24"/>
          <w:rtl w:val="0"/>
        </w:rPr>
        <w:t xml:space="preserve">$57.6 billion in 2020 to $76.9 billion in 2024</w:t>
      </w:r>
      <w:r w:rsidDel="00000000" w:rsidR="00000000" w:rsidRPr="00000000">
        <w:rPr>
          <w:rFonts w:ascii="Times New Roman" w:cs="Times New Roman" w:eastAsia="Times New Roman" w:hAnsi="Times New Roman"/>
          <w:sz w:val="24"/>
          <w:szCs w:val="24"/>
          <w:rtl w:val="0"/>
        </w:rPr>
        <w:t xml:space="preserve">, driven by revenue growth and continued operating profitability.</w:t>
      </w:r>
    </w:p>
    <w:p w:rsidR="00000000" w:rsidDel="00000000" w:rsidP="00000000" w:rsidRDefault="00000000" w:rsidRPr="00000000" w14:paraId="0000000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value represents approximately </w:t>
      </w:r>
      <w:r w:rsidDel="00000000" w:rsidR="00000000" w:rsidRPr="00000000">
        <w:rPr>
          <w:rFonts w:ascii="Times New Roman" w:cs="Times New Roman" w:eastAsia="Times New Roman" w:hAnsi="Times New Roman"/>
          <w:b w:val="1"/>
          <w:bCs w:val="1"/>
          <w:sz w:val="24"/>
          <w:szCs w:val="24"/>
          <w:rtl w:val="0"/>
        </w:rPr>
        <w:t xml:space="preserve">82% of total enterprise value</w:t>
      </w:r>
      <w:r w:rsidDel="00000000" w:rsidR="00000000" w:rsidRPr="00000000">
        <w:rPr>
          <w:rFonts w:ascii="Times New Roman" w:cs="Times New Roman" w:eastAsia="Times New Roman" w:hAnsi="Times New Roman"/>
          <w:sz w:val="24"/>
          <w:szCs w:val="24"/>
          <w:rtl w:val="0"/>
        </w:rPr>
        <w:t xml:space="preserve">, which makes my terminal assumptions and WACC especially important to the overall valuation.</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uvybycuc84j" w:id="2"/>
      <w:bookmarkEnd w:id="2"/>
      <w:r w:rsidDel="00000000" w:rsidR="00000000" w:rsidRPr="00000000">
        <w:rPr>
          <w:rFonts w:ascii="Times New Roman" w:cs="Times New Roman" w:eastAsia="Times New Roman" w:hAnsi="Times New Roman"/>
          <w:b w:val="1"/>
          <w:bCs w:val="1"/>
          <w:sz w:val="24"/>
          <w:szCs w:val="24"/>
          <w:rtl w:val="0"/>
        </w:rPr>
        <w:t xml:space="preserve">Business &amp; Industry Analysis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Apple's business is built around a large installed base of customers purchasing hardware and increasingly monetizing the ecosystem through services. For my DCF, the most important consideration is not simply revenue growth, but how effectively Apple converts that revenue into sustainable free cash flow.</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forecast assumes revenue growth of roughly 6% to 7% annually while maintaining an EBITDA margin around 29% and an EBIT margin around 25%. This reflects my view of Apple as a mature but highly profitable business where continued cash flow generation is more important than exceptionally high top-line growth.</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Apple's competitive advantages include its brand, ecosystem integration, customer loyalty, scale, and ability to generate substantial cash flow. The primary risks are slower hardware demand, competitive pressure, regulatory scrutiny, supply chain disruption, foreign exchange exposure, and the possibility that mature-market growth is lower than my assumptions.</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o6hdvb0im1k"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tuq8r3yv0dh"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mosk8gsborc" w:id="5"/>
      <w:bookmarkEnd w:id="5"/>
      <w:r w:rsidDel="00000000" w:rsidR="00000000" w:rsidRPr="00000000">
        <w:rPr>
          <w:rFonts w:ascii="Times New Roman" w:cs="Times New Roman" w:eastAsia="Times New Roman" w:hAnsi="Times New Roman"/>
          <w:b w:val="1"/>
          <w:bCs w:val="1"/>
          <w:sz w:val="24"/>
          <w:szCs w:val="24"/>
          <w:rtl w:val="0"/>
        </w:rPr>
        <w:t xml:space="preserve">Financial Modeling Specific Takeaways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particularly proud of how I built the DCF to connect operating performance directly to free cash flow rather than treating valuation as a standalone exercise. Revenue growth flows through margins, taxes, working capital, and capital expenditures before arriving at UFCF.</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incorporated a </w:t>
      </w:r>
      <w:r w:rsidDel="00000000" w:rsidR="00000000" w:rsidRPr="00000000">
        <w:rPr>
          <w:rFonts w:ascii="Times New Roman" w:cs="Times New Roman" w:eastAsia="Times New Roman" w:hAnsi="Times New Roman"/>
          <w:b w:val="1"/>
          <w:bCs w:val="1"/>
          <w:sz w:val="24"/>
          <w:szCs w:val="24"/>
          <w:rtl w:val="0"/>
        </w:rPr>
        <w:t xml:space="preserve">7.79% WACC</w:t>
      </w:r>
      <w:r w:rsidDel="00000000" w:rsidR="00000000" w:rsidRPr="00000000">
        <w:rPr>
          <w:rFonts w:ascii="Times New Roman" w:cs="Times New Roman" w:eastAsia="Times New Roman" w:hAnsi="Times New Roman"/>
          <w:sz w:val="24"/>
          <w:szCs w:val="24"/>
          <w:rtl w:val="0"/>
        </w:rPr>
        <w:t xml:space="preserve"> and used both a perpetuity growth approach and an EBITDA multiple approach to avoid relying on a single terminal value methodology. The difference between the two outputs was useful because it highlighted how much the valuation depends on assumptions that occur well beyond the explicit forecast period.</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WACC analysis also includes sensitivity to beta and the market risk premium. This showed me that valuation can move materially even when the underlying operating forecast remains unchanged.</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mvckcxlddqv" w:id="6"/>
      <w:bookmarkEnd w:id="6"/>
      <w:r w:rsidDel="00000000" w:rsidR="00000000" w:rsidRPr="00000000">
        <w:rPr>
          <w:rFonts w:ascii="Times New Roman" w:cs="Times New Roman" w:eastAsia="Times New Roman" w:hAnsi="Times New Roman"/>
          <w:b w:val="1"/>
          <w:bCs w:val="1"/>
          <w:sz w:val="24"/>
          <w:szCs w:val="24"/>
          <w:rtl w:val="0"/>
        </w:rPr>
        <w:t xml:space="preserve">Qualitative Drivers &amp; Risks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risk in my DCF is terminal value dependence. Because approximately 82% of enterprise value comes from terminal value, small changes to WACC or long-term growth can create large changes in implied equity value.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perpetuity approach also implies an approximately </w:t>
      </w:r>
      <w:r w:rsidDel="00000000" w:rsidR="00000000" w:rsidRPr="00000000">
        <w:rPr>
          <w:rFonts w:ascii="Times New Roman" w:cs="Times New Roman" w:eastAsia="Times New Roman" w:hAnsi="Times New Roman"/>
          <w:b w:val="1"/>
          <w:bCs w:val="1"/>
          <w:sz w:val="24"/>
          <w:szCs w:val="24"/>
          <w:rtl w:val="0"/>
        </w:rPr>
        <w:t xml:space="preserve">15.8x terminal EBITDA multiple</w:t>
      </w:r>
      <w:r w:rsidDel="00000000" w:rsidR="00000000" w:rsidRPr="00000000">
        <w:rPr>
          <w:rFonts w:ascii="Times New Roman" w:cs="Times New Roman" w:eastAsia="Times New Roman" w:hAnsi="Times New Roman"/>
          <w:sz w:val="24"/>
          <w:szCs w:val="24"/>
          <w:rtl w:val="0"/>
        </w:rPr>
        <w:t xml:space="preserve">, which is an important qualitative check on the valuation. That tells me I cannot simply look at the $318.86 per share result without considering what my terminal assumptions imply economically.</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also sensitive to revenue growth and margins. If Apple grows more slowly than my forecast or experiences margin compression, UFCF would decline and the valuation would fall. Likewise, a higher cost of capital would disproportionately affect the present value of Apple's long-duration cash flows.</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recognize that several important factors are difficult to capture in a spreadsheet. Product innovation, brand strength, ecosystem loyalty, management's capital allocation decisions, geopolitical developments, and regulatory changes can materially affect Apple's long-term economics.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built this DCF to do more than calculate an implied share price. I wanted to understand the assumptions supporting that valuation, identify where the model is most vulnerable, and test whether the investment conclusion remains reasonable under different scenarios.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