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6kd938tzz6jo" w:id="0"/>
      <w:bookmarkEnd w:id="0"/>
      <w:r w:rsidDel="00000000" w:rsidR="00000000" w:rsidRPr="00000000">
        <w:rPr>
          <w:rFonts w:ascii="Times New Roman" w:cs="Times New Roman" w:eastAsia="Times New Roman" w:hAnsi="Times New Roman"/>
          <w:b w:val="1"/>
          <w:bCs w:val="1"/>
          <w:sz w:val="24"/>
          <w:szCs w:val="24"/>
          <w:rtl w:val="0"/>
        </w:rPr>
        <w:t xml:space="preserve">Qualitative Investment Analysis - Brooks Phillips</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rb5y0uxzsahq" w:id="1"/>
      <w:bookmarkEnd w:id="1"/>
      <w:r w:rsidDel="00000000" w:rsidR="00000000" w:rsidRPr="00000000">
        <w:rPr>
          <w:rFonts w:ascii="Times New Roman" w:cs="Times New Roman" w:eastAsia="Times New Roman" w:hAnsi="Times New Roman"/>
          <w:b w:val="1"/>
          <w:bCs w:val="1"/>
          <w:sz w:val="24"/>
          <w:szCs w:val="24"/>
          <w:rtl w:val="0"/>
        </w:rPr>
        <w:t xml:space="preserve">Executive Summary</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built this leveraged buyout model for BMC to evaluate whether an acquisition could generate an attractive sponsor return through a combination of EBITDA growth, margin expansion, debt paydown, and disciplined entry and exit valuation assumptions.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core investment questi</w:t>
      </w:r>
      <w:r w:rsidDel="00000000" w:rsidR="00000000" w:rsidRPr="00000000">
        <w:rPr>
          <w:rFonts w:ascii="Times New Roman" w:cs="Times New Roman" w:eastAsia="Times New Roman" w:hAnsi="Times New Roman"/>
          <w:sz w:val="24"/>
          <w:szCs w:val="24"/>
          <w:rtl w:val="0"/>
        </w:rPr>
        <w:t xml:space="preserve">on was whether I could create significant equity value without depending heavily on multiple expansion. At my base case of a 7.3x exit EBITDA multiple, the model generates a 4.17x sponsor MOIC and 33.1% IRR.</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key conclusions are:</w:t>
      </w:r>
    </w:p>
    <w:p w:rsidR="00000000" w:rsidDel="00000000" w:rsidP="00000000" w:rsidRDefault="00000000" w:rsidRPr="00000000" w14:paraId="00000006">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modeled an acquisition at $6.47 billion of enterprise value and a $46.25 offer price per share, representing only a 1.8% premium to the modeled current share price.</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EBITDA grows from $882.7 million to $1.23 billion, approximately 39% growth over the hold period.</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EBITDA margin expands from approximately 40.1% to 43.8%, driven primarily by gross margin expansion and SG&amp;A efficiency.</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Debt declines from approximately $5.19 billion to $2.21 billion, with excess cash flow aggressively swept toward the Term Loan A.</w:t>
      </w:r>
    </w:p>
    <w:p w:rsidR="00000000" w:rsidDel="00000000" w:rsidP="00000000" w:rsidRDefault="00000000" w:rsidRPr="00000000" w14:paraId="0000000A">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sponsor contributes approximately $1.66 billion of initial equity, representing only about 24% of total capitalization, which allows operating improvement</w:t>
      </w:r>
      <w:r w:rsidDel="00000000" w:rsidR="00000000" w:rsidRPr="00000000">
        <w:rPr>
          <w:rFonts w:ascii="Times New Roman" w:cs="Times New Roman" w:eastAsia="Times New Roman" w:hAnsi="Times New Roman"/>
          <w:sz w:val="24"/>
          <w:szCs w:val="24"/>
          <w:rtl w:val="0"/>
        </w:rPr>
        <w:t xml:space="preserve"> and deleveraging to generate significant equity value creation.</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n2582axxt7y" w:id="2"/>
      <w:bookmarkEnd w:id="2"/>
      <w:r w:rsidDel="00000000" w:rsidR="00000000" w:rsidRPr="00000000">
        <w:rPr>
          <w:rFonts w:ascii="Times New Roman" w:cs="Times New Roman" w:eastAsia="Times New Roman" w:hAnsi="Times New Roman"/>
          <w:b w:val="1"/>
          <w:bCs w:val="1"/>
          <w:sz w:val="24"/>
          <w:szCs w:val="24"/>
          <w:rtl w:val="0"/>
        </w:rPr>
        <w:t xml:space="preserve">Business &amp; Industry Analysis</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BMC is a software and technology business where recurring customer relationships, product investment, and operating efficiency are important drivers of financial performance. In an LBO context, I focused less on short-term revenue acceleration and more on whether the business could consistently convert operating earnings into cash flow that could be used to reduce debt.</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model assumes revenue growth gradually increases from approximately 1.4% historically to a range of roughly 3.5% to 6.0% during the forecast period. More importantly, I modeled meaningful margin expansion. Gross margin increases by approximately 300 basis points, while SG&amp;A as a percentage of revenue declines by approximately 600 basis points.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this as an important part of the investment thesis because a sponsor does not need to rely exclusively on top-line growth to create value. Improving the efficiency of the existing revenue base can increase EBITDA and accelerate debt repayment.</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zcn15atcagnw" w:id="3"/>
      <w:bookmarkEnd w:id="3"/>
      <w:r w:rsidDel="00000000" w:rsidR="00000000" w:rsidRPr="00000000">
        <w:rPr>
          <w:rFonts w:ascii="Times New Roman" w:cs="Times New Roman" w:eastAsia="Times New Roman" w:hAnsi="Times New Roman"/>
          <w:b w:val="1"/>
          <w:bCs w:val="1"/>
          <w:sz w:val="24"/>
          <w:szCs w:val="24"/>
          <w:rtl w:val="0"/>
        </w:rPr>
        <w:t xml:space="preserve">Financial Modeling Specific Takeaways</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strongest parts of my model is the integration between the operating forecast and the debt schedule. Rather than assuming debt simply declines over time, I modeled mandatory amortization and a cash sweep that directs excess cash flow toward the Term Loan A.</w:t>
      </w: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results in Term Loan A declining from approximately $2.89 billion to $77.5 million by exit. Overall debt falls by roughly $3.0 billion, which is a major source of sponsor value creation.</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modeled multiple layers of financing, including Term Loan A, Term Loan B, and Senior Notes, along with financing fees and interest expense. This allowed me to analyze how the capital structure affects both cash flow and sponsor returns.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base case 7.3x exit multiple, sponsor equity increases from approximately $1.66 billion to $6.92 billion. This illustrates the leverage effect clearly: the sponsor owns th</w:t>
      </w:r>
      <w:r w:rsidDel="00000000" w:rsidR="00000000" w:rsidRPr="00000000">
        <w:rPr>
          <w:rFonts w:ascii="Times New Roman" w:cs="Times New Roman" w:eastAsia="Times New Roman" w:hAnsi="Times New Roman"/>
          <w:sz w:val="24"/>
          <w:szCs w:val="24"/>
          <w:rtl w:val="0"/>
        </w:rPr>
        <w:t xml:space="preserve">e residual equity while debt is progressively paid down using the company's cash generation.</w:t>
      </w:r>
    </w:p>
    <w:p w:rsidR="00000000" w:rsidDel="00000000" w:rsidP="00000000" w:rsidRDefault="00000000" w:rsidRPr="00000000" w14:paraId="0000001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75fu0v4mhxm" w:id="4"/>
      <w:bookmarkEnd w:id="4"/>
      <w:r w:rsidDel="00000000" w:rsidR="00000000" w:rsidRPr="00000000">
        <w:rPr>
          <w:rFonts w:ascii="Times New Roman" w:cs="Times New Roman" w:eastAsia="Times New Roman" w:hAnsi="Times New Roman"/>
          <w:b w:val="1"/>
          <w:bCs w:val="1"/>
          <w:sz w:val="24"/>
          <w:szCs w:val="24"/>
          <w:rtl w:val="0"/>
        </w:rPr>
        <w:t xml:space="preserve">Qualitative Drivers &amp; Risks</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largest driver of my return is the combination </w:t>
      </w:r>
      <w:r w:rsidDel="00000000" w:rsidR="00000000" w:rsidRPr="00000000">
        <w:rPr>
          <w:rFonts w:ascii="Times New Roman" w:cs="Times New Roman" w:eastAsia="Times New Roman" w:hAnsi="Times New Roman"/>
          <w:sz w:val="24"/>
          <w:szCs w:val="24"/>
          <w:rtl w:val="0"/>
        </w:rPr>
        <w:t xml:space="preserve">of EBITDA growth and deleveraging. That is important because my base case does not require a higher exit multiple than the entry multiple. I modeled a 7.3x exit multiple, compared with approximately 7.3x at entry, meaning the return is primarily generated internally rather than through multiple expansion.</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risk to my assumptions is margin expansion. The model assumes gross margins improve and SG&amp;A becomes a smaller percentage of revenue over time. If management cannot achieve those efficiencies, EBITDA growth and debt paydown would be slower.</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growth is another key risk. My underwriting assumes growth accelerates meaningfully from historical levels. A weaker demand environment, competitive pressure, or slower customer adoption could reduce the cash available for debt repayment.</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capital structure also creates sensitivity to interest rates. Because a significant portion of the financing carries floating-rate exposure, higher rates would increase interest expense and reduce free cash flow available for deleveraging. My sensitivity analysis reinforced the importance of entry price, leverage, and sponsor hurdle rates. At different leverage levels, the sponsor IRR changes materially even when the operating ca</w:t>
      </w:r>
      <w:r w:rsidDel="00000000" w:rsidR="00000000" w:rsidRPr="00000000">
        <w:rPr>
          <w:rFonts w:ascii="Times New Roman" w:cs="Times New Roman" w:eastAsia="Times New Roman" w:hAnsi="Times New Roman"/>
          <w:sz w:val="24"/>
          <w:szCs w:val="24"/>
          <w:rtl w:val="0"/>
        </w:rPr>
        <w:t xml:space="preserve">se is held relatively constant. That showed me how important it is to evaluate the capital structure alongside the business itself.</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 built this LBO to demonstrate that I can identify where value is actually created in a leveraged transaction. In my base case, that </w:t>
      </w:r>
      <w:r w:rsidDel="00000000" w:rsidR="00000000" w:rsidRPr="00000000">
        <w:rPr>
          <w:rFonts w:ascii="Times New Roman" w:cs="Times New Roman" w:eastAsia="Times New Roman" w:hAnsi="Times New Roman"/>
          <w:sz w:val="24"/>
          <w:szCs w:val="24"/>
          <w:rtl w:val="0"/>
        </w:rPr>
        <w:t xml:space="preserve">value comes primarily from EBITDA growth, margin improvement, and aggressive debt repayment rather than relying on multiple expansion.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