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Supplementary Material</w:t>
      </w:r>
    </w:p>
    <w:bookmarkStart w:id="20" w:name="supplementary-table-1"/>
    <w:p>
      <w:pPr>
        <w:pStyle w:val="Heading3"/>
      </w:pPr>
      <w:r>
        <w:t xml:space="preserve">Supplementary Table 1</w:t>
      </w:r>
    </w:p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34"/>
        <w:gridCol w:w="1731"/>
        <w:gridCol w:w="1236"/>
        <w:gridCol w:w="1236"/>
        <w:gridCol w:w="1236"/>
      </w:tblGrid>
      <w:tr>
        <w:trPr>
          <w:cantSplit/>
          <w:trHeight w:val="618" w:hRule="auto"/>
          <w:tblHeader/>
        </w:trPr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Posterior probability, %</w:t>
            </w:r>
          </w:p>
        </w:tc>
      </w:tr>
      <w:tr>
        <w:trPr>
          <w:cantSplit/>
          <w:trHeight w:val="618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Belief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RD (95% CrI)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RD &gt;0%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RD &gt;1%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RD &gt;2%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Vague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2.4 (-4.8, 9.8)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74.9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64.7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54.2</w:t>
            </w:r>
          </w:p>
        </w:tc>
      </w:tr>
      <w:tr>
        <w:trPr>
          <w:cantSplit/>
          <w:trHeight w:val="619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Skeptical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 (-4.5, 7.8)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45.2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SAVR 50%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3.5 (-1.2, 7.7)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93.9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86.2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73.2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SAVR 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3.8 (0.4, 7.4)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98.4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83.3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The assumed fixed baseline risk was 39.9%, based on the SWEDEHEART TAVR data on patients not exposed to pacemaker at 4 years.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"SAVR 50%" regards posterior distribution while assuming a prior based on the surgical aortic valve replacement SWEDEHEART data with 50% of weight. "SAVR 100%" regards the same data, but with 100% weight.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Abbreviation: RD, risk difference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2022-02-04T00:07:11Z</dcterms:created>
  <dcterms:modified xsi:type="dcterms:W3CDTF">2022-02-04T00:07:11Z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