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Pacemaker Risk Following Transcatheter Aortic Valve Replacement - A Bayesian Reanalysis</w:t>
      </w:r>
    </w:p>
    <w:p>
      <w:pPr>
        <w:pStyle w:val="BodyText"/>
      </w:pPr>
      <w:r>
        <w:rPr>
          <w:bCs/>
          <w:b/>
        </w:rPr>
        <w:t xml:space="preserve">Running Title</w:t>
      </w:r>
      <w:r>
        <w:t xml:space="preserve">:</w:t>
      </w:r>
    </w:p>
    <w:p>
      <w:pPr>
        <w:pStyle w:val="BodyText"/>
      </w:pPr>
      <w:r>
        <w:t xml:space="preserve">Pacemaker Risk Following TAVR</w:t>
      </w:r>
    </w:p>
    <w:p>
      <w:pPr>
        <w:pStyle w:val="BodyText"/>
      </w:pPr>
      <w:r>
        <w:rPr>
          <w:bCs/>
          <w:b/>
        </w:rPr>
        <w:t xml:space="preserve">Authors</w:t>
      </w:r>
      <w:r>
        <w:t xml:space="preserve">:</w:t>
      </w:r>
    </w:p>
    <w:p>
      <w:pPr>
        <w:pStyle w:val="BodyText"/>
      </w:pPr>
      <w:r>
        <w:t xml:space="preserve">Arthur M. Albuquerque</w:t>
      </w:r>
    </w:p>
    <w:p>
      <w:pPr>
        <w:pStyle w:val="BodyText"/>
      </w:pPr>
      <w:r>
        <w:t xml:space="preserve">School of Medicine, Universidade Federal do Rio de Janeiro, Brazil</w:t>
      </w:r>
    </w:p>
    <w:p>
      <w:pPr>
        <w:pStyle w:val="BodyText"/>
      </w:pPr>
      <w:r>
        <w:t xml:space="preserve">James M. Brophy</w:t>
      </w:r>
    </w:p>
    <w:p>
      <w:pPr>
        <w:pStyle w:val="BodyText"/>
      </w:pPr>
      <w:r>
        <w:t xml:space="preserve">McGill Health University Center, Montreal, Canada</w:t>
      </w:r>
    </w:p>
    <w:p>
      <w:pPr>
        <w:pStyle w:val="BodyText"/>
      </w:pPr>
      <w:r>
        <w:rPr>
          <w:bCs/>
          <w:b/>
        </w:rPr>
        <w:t xml:space="preserve">Corresponding author</w:t>
      </w:r>
      <w:r>
        <w:t xml:space="preserve">:</w:t>
      </w:r>
    </w:p>
    <w:p>
      <w:pPr>
        <w:pStyle w:val="BodyText"/>
      </w:pPr>
      <w:r>
        <w:t xml:space="preserve">James Brophy MD PhD</w:t>
      </w:r>
      <w:r>
        <w:br/>
      </w:r>
      <w:r>
        <w:t xml:space="preserve">Professor of Medicine &amp; Epidemiology (McGill University)</w:t>
      </w:r>
      <w:r>
        <w:br/>
      </w:r>
      <w:r>
        <w:t xml:space="preserve">McGill University Health Center</w:t>
      </w:r>
      <w:r>
        <w:br/>
      </w:r>
      <w:r>
        <w:t xml:space="preserve">1001 Decarie Blvd Room C04.1410</w:t>
      </w:r>
      <w:r>
        <w:br/>
      </w:r>
      <w:r>
        <w:t xml:space="preserve">Montreal (Qc) H4A 3J1</w:t>
      </w:r>
      <w:r>
        <w:br/>
      </w:r>
      <w:r>
        <w:t xml:space="preserve">e-mail:</w:t>
      </w:r>
      <w:r>
        <w:t xml:space="preserve"> </w:t>
      </w:r>
      <w:hyperlink r:id="rId20">
        <w:r>
          <w:rPr>
            <w:rStyle w:val="Hyperlink"/>
          </w:rPr>
          <w:t xml:space="preserve">james.brophy@mcgill.ca</w:t>
        </w:r>
      </w:hyperlink>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Word Count</w:t>
      </w:r>
      <w:r>
        <w:t xml:space="preserve">:</w:t>
      </w:r>
    </w:p>
    <w:p>
      <w:pPr>
        <w:pStyle w:val="BodyText"/>
      </w:pPr>
      <w:r>
        <w:t xml:space="preserve">2599</w:t>
      </w:r>
    </w:p>
    <w:p>
      <w:r>
        <w:br w:type="page"/>
      </w:r>
    </w:p>
    <w:p>
      <w:pPr>
        <w:pStyle w:val="BodyText"/>
      </w:pPr>
      <w:r>
        <w:rPr>
          <w:bCs/>
          <w:b/>
        </w:rPr>
        <w:t xml:space="preserve">Structured Abstract</w:t>
      </w:r>
      <w:r>
        <w:t xml:space="preserve">: (212 words)</w:t>
      </w:r>
    </w:p>
    <w:p>
      <w:pPr>
        <w:pStyle w:val="BodyText"/>
      </w:pPr>
      <w:r>
        <w:t xml:space="preserve">Objectives: To estimate the probability of increased total mortality risk in patients receiving a cardiac pacemaker following transcatheter aortic valve replacement (TAVR).</w:t>
      </w:r>
    </w:p>
    <w:p>
      <w:pPr>
        <w:pStyle w:val="BodyText"/>
      </w:pPr>
      <w:r>
        <w:t xml:space="preserve">Background: A recent publication of a nationwide Swedish, population-based cohort study found no statistically significant difference for all-cause mortality. There are several reasons to query the robustness of this analysis and to investigate if a Bayesian reanalysis would lead to the same conclusion.</w:t>
      </w:r>
    </w:p>
    <w:p>
      <w:pPr>
        <w:pStyle w:val="BodyText"/>
      </w:pPr>
      <w:r>
        <w:t xml:space="preserve">Methods: A digitalized approach to the published Kaplan – Meier curves to permit the reconstruction of the</w:t>
      </w:r>
      <w:r>
        <w:t xml:space="preserve"> </w:t>
      </w:r>
      <w:r>
        <w:t xml:space="preserve">individual patient dataset. Bayesian survival analyses of this data using both vague, thereby allowing the posterior probability to be completely dominated by the observed data, and informative priors, based on the mortality risk of pacemaker implantation following surgical aortic valve replacement, were performed.</w:t>
      </w:r>
    </w:p>
    <w:p>
      <w:pPr>
        <w:pStyle w:val="BodyText"/>
      </w:pPr>
      <w:r>
        <w:t xml:space="preserve">Results: Individual patient data was reliably extracted and showed an increased risk at 4 year follow-up (Hazard ratio (HR) = 1.08, 95% CI 0.85 - 1.36). The Bayesian analysis using a vague prior revealed a 75% probability of increased mortality in the pacemaker group. Using an informative prior, the posterior probability of increased mortality following pacemaker insertion was increased to 94%.</w:t>
      </w:r>
    </w:p>
    <w:p>
      <w:pPr>
        <w:pStyle w:val="BodyText"/>
      </w:pPr>
      <w:r>
        <w:t xml:space="preserve">Conclusions: In contrast to the original publication, this Bayesian reanalysis suggests a moderate to high probability of an increased total mortality in TAVR patients following pacemaker implantation.</w:t>
      </w:r>
    </w:p>
    <w:p>
      <w:pPr>
        <w:pStyle w:val="BodyText"/>
      </w:pPr>
      <w:r>
        <w:rPr>
          <w:bCs/>
          <w:b/>
        </w:rPr>
        <w:t xml:space="preserve">Key Words</w:t>
      </w:r>
      <w:r>
        <w:t xml:space="preserve">: Pacemaker, mortality, Bayesian</w:t>
      </w:r>
    </w:p>
    <w:p>
      <w:pPr>
        <w:pStyle w:val="BodyText"/>
      </w:pPr>
      <w:r>
        <w:rPr>
          <w:bCs/>
          <w:b/>
        </w:rPr>
        <w:t xml:space="preserve">Condensed Abstract</w:t>
      </w:r>
      <w:r>
        <w:t xml:space="preserve">: (27 words) A Bayesian reanalysis of a nationwide, population-based cohort of transcatheter aortic valve replacement patients suggests a moderate to high probability of increased total mortality following pacemaker implantation.</w:t>
      </w:r>
    </w:p>
    <w:p>
      <w:pPr>
        <w:pStyle w:val="BodyText"/>
      </w:pPr>
      <w:r>
        <w:rPr>
          <w:bCs/>
          <w:b/>
        </w:rPr>
        <w:t xml:space="preserve">Abbreviations List</w:t>
      </w:r>
      <w:r>
        <w:t xml:space="preserve">: HR = hazard ratio; TAVR = transcatheter aortic valve replacement; SAVR = surgical aortic valve replacement; KM = Kaplan–Meier; CrI = credible interval</w:t>
      </w:r>
    </w:p>
    <w:p>
      <w:r>
        <w:br w:type="page"/>
      </w:r>
    </w:p>
    <w:bookmarkStart w:id="32" w:name="text"/>
    <w:p>
      <w:pPr>
        <w:pStyle w:val="Heading1"/>
      </w:pPr>
      <w:r>
        <w:t xml:space="preserve">Text</w:t>
      </w:r>
    </w:p>
    <w:bookmarkStart w:id="21"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(1)</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can directly estimate the probability of</w:t>
      </w:r>
      <w:r>
        <w:t xml:space="preserve"> </w:t>
      </w:r>
      <w:r>
        <w:t xml:space="preserve">increased mortality post pacemaker insertion and allows the</w:t>
      </w:r>
      <w:r>
        <w:t xml:space="preserve"> </w:t>
      </w:r>
      <w:r>
        <w:t xml:space="preserve">incorporation of past knowledge which may be helpful in furthering our</w:t>
      </w:r>
      <w:r>
        <w:t xml:space="preserve"> </w:t>
      </w:r>
      <w:r>
        <w:t xml:space="preserve">understanding of this data and in presenting actionable probabilities.</w:t>
      </w:r>
    </w:p>
    <w:bookmarkEnd w:id="21"/>
    <w:bookmarkStart w:id="26" w:name="methods"/>
    <w:p>
      <w:pPr>
        <w:pStyle w:val="Heading2"/>
      </w:pPr>
      <w:r>
        <w:t xml:space="preserve">Methods</w:t>
      </w:r>
    </w:p>
    <w:bookmarkStart w:id="22"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provided by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the R package IPDfromKM</w:t>
      </w:r>
      <w:r>
        <w:t xml:space="preserve"> </w:t>
      </w:r>
      <w:r>
        <w:t xml:space="preserve">(6)</w:t>
      </w:r>
      <w:r>
        <w:t xml:space="preserve"> </w:t>
      </w:r>
      <w:r>
        <w:t xml:space="preserve">created this reconstruction of the</w:t>
      </w:r>
      <w:r>
        <w:t xml:space="preserve"> </w:t>
      </w:r>
      <w:r>
        <w:t xml:space="preserve">individual patient data thereby</w:t>
      </w:r>
      <w:r>
        <w:t xml:space="preserve"> </w:t>
      </w:r>
      <w:r>
        <w:t xml:space="preserve">allowing our secondary Bayesian survival analyses to be performed.</w:t>
      </w:r>
    </w:p>
    <w:bookmarkEnd w:id="22"/>
    <w:bookmarkStart w:id="23"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 for our analyses.</w:t>
      </w:r>
    </w:p>
    <w:bookmarkEnd w:id="23"/>
    <w:bookmarkStart w:id="25" w:name="statistical-analyses"/>
    <w:p>
      <w:pPr>
        <w:pStyle w:val="Heading3"/>
      </w:pPr>
      <w:r>
        <w:t xml:space="preserve">Statistical analyses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br/>
      </w:r>
    </w:p>
    <w:p>
      <w:pPr>
        <w:pStyle w:val="BodyText"/>
      </w:pPr>
      <m:oMathPara>
        <m:oMathParaPr>
          <m:jc m:val="center"/>
        </m:oMathParaPr>
        <m:oMath>
          <m:r>
            <m:rPr>
              <m:nor/>
              <m:sty m:val="p"/>
            </m:rPr>
            <m:t>Posterior</m:t>
          </m:r>
          <m:r>
            <m:rPr>
              <m:sty m:val="p"/>
            </m:rPr>
            <m:t>=</m:t>
          </m:r>
          <m:f>
            <m:fPr>
              <m:type m:val="bar"/>
            </m:fPr>
            <m:num>
              <m:r>
                <m:rPr>
                  <m:nor/>
                  <m:sty m:val="p"/>
                </m:rPr>
                <m:t>Probability of the data</m:t>
              </m:r>
              <m:r>
                <m:rPr>
                  <m:sty m:val="p"/>
                </m:rPr>
                <m:t>*</m:t>
              </m:r>
              <m:r>
                <m:rPr>
                  <m:nor/>
                  <m:sty m:val="p"/>
                </m:rPr>
                <m:t>Prior</m:t>
              </m:r>
            </m:num>
            <m:den>
              <m:r>
                <m:rPr>
                  <m:nor/>
                  <m:sty m:val="p"/>
                </m:rPr>
                <m:t>Normalizing Constant</m:t>
              </m:r>
            </m:den>
          </m:f>
        </m:oMath>
      </m:oMathPara>
    </w:p>
    <w:p>
      <w:pPr>
        <w:pStyle w:val="FirstParagraph"/>
      </w:pPr>
      <w:r>
        <w:t xml:space="preserve">Therefore, in addition to the current data summarized by the probability of the data (likelihood function) one requires a prior probability distribution each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(7)</w:t>
      </w:r>
      <w:r>
        <w:t xml:space="preserve"> </w:t>
      </w:r>
      <w:r>
        <w:t xml:space="preserve">through the R package</w:t>
      </w:r>
      <w:r>
        <w:t xml:space="preserve"> </w:t>
      </w:r>
      <w:r>
        <w:t xml:space="preserve">rstanarm</w:t>
      </w:r>
      <w:r>
        <w:t xml:space="preserve"> </w:t>
      </w:r>
      <w:r>
        <w:t xml:space="preserve">(8)</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the risk of pacemaker exposure. Because our focus in this article was on the latter, we used rstanarm’s default vague priors for the intercept and M-spline coefficients (Normal[0, 20] and Dirichlet[1, 1, 1, …], respectively) in all analyses. To estimate pacemaker exposure’s marginal posterior distribution, we used two different priors. First we performed the analysis using the rstanarm built-in default vague normal prior (Normal [0, 2.50]; mean and standard deviation). This prior contributes very little information to the posterior distribution and allows it to be completely dominated by the data. Next we used an informative prior (Normal[0.13, 0.094])</w:t>
      </w:r>
      <w:r>
        <w:t xml:space="preserve"> </w:t>
      </w:r>
      <w:r>
        <w:t xml:space="preserve">based on a previous study, using the same national databases, of pacemaker risk in a</w:t>
      </w:r>
      <w:r>
        <w:t xml:space="preserve"> </w:t>
      </w:r>
      <w:r>
        <w:t xml:space="preserve">cohort undergoing SAVR</w:t>
      </w:r>
      <w:r>
        <w:t xml:space="preserve"> </w:t>
      </w:r>
      <w:r>
        <w:t xml:space="preserve">(2)</w:t>
      </w:r>
      <w:r>
        <w:t xml:space="preserve">. We downweighted the influence of this informative prior by 50%, because while the populations are similar (everyone has aortic stenosis), the aortic valve interventions were different and the long term evolution of SAVR patients receiving pacemakers may not be identical to TAVR patients. To downweight, we increased the original standard error by 50%.</w:t>
      </w:r>
    </w:p>
    <w:p>
      <w:pPr>
        <w:pStyle w:val="BodyText"/>
      </w:pPr>
      <w:r>
        <w:t xml:space="preserve">Marginal posterior distributions are summarized with medians and 95% highest-density intervals (credible intervals), defined as the narrowest interval containing 95% of the probability density function</w:t>
      </w:r>
      <w:r>
        <w:t xml:space="preserve"> </w:t>
      </w:r>
      <w:r>
        <w:t xml:space="preserve">(9)</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4">
        <w:r>
          <w:rPr>
            <w:rStyle w:val="Hyperlink"/>
          </w:rPr>
          <w:t xml:space="preserve">https://github.com/brophyj/tavr_pace</w:t>
        </w:r>
      </w:hyperlink>
      <w:r>
        <w:t xml:space="preserve">).</w:t>
      </w:r>
    </w:p>
    <w:bookmarkEnd w:id="25"/>
    <w:bookmarkEnd w:id="26"/>
    <w:bookmarkStart w:id="30" w:name="results"/>
    <w:p>
      <w:pPr>
        <w:pStyle w:val="Heading2"/>
      </w:pPr>
      <w:r>
        <w:t xml:space="preserve">Results</w:t>
      </w:r>
    </w:p>
    <w:bookmarkStart w:id="27"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(KM) curves (Figure</w:t>
      </w:r>
      <w:r>
        <w:t xml:space="preserve"> </w:t>
      </w:r>
      <w:r>
        <w:t xml:space="preserve">1) with the published propensity-matched KM curve (Original</w:t>
      </w:r>
      <w:r>
        <w:t xml:space="preserve"> </w:t>
      </w:r>
      <w:r>
        <w:t xml:space="preserve">Supplemental Figure 2</w:t>
      </w:r>
      <w:r>
        <w:t xml:space="preserve">(1)</w:t>
      </w:r>
      <w:r>
        <w:t xml:space="preserve">).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(10)</w:t>
      </w:r>
      <w:r>
        <w:t xml:space="preserve">.</w:t>
      </w:r>
    </w:p>
    <w:bookmarkEnd w:id="27"/>
    <w:bookmarkStart w:id="28"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an increased mortality risk in the</w:t>
      </w:r>
      <w:r>
        <w:t xml:space="preserve"> </w:t>
      </w:r>
      <w:r>
        <w:t xml:space="preserve">pacemaker group. Using this statistically non-sgnificant result to conclude that a pacemaker does</w:t>
      </w:r>
      <w:r>
        <w:t xml:space="preserve"> </w:t>
      </w:r>
      <w:r>
        <w:t xml:space="preserve">not influence 4-year mortality risks makes the common error of confusing absence of</w:t>
      </w:r>
      <w:r>
        <w:t xml:space="preserve"> </w:t>
      </w:r>
      <w:r>
        <w:t xml:space="preserve">evidence with evidence of absence. To avoid the nullism and dichotomania associated with null hypothesis significance testing</w:t>
      </w:r>
      <w:r>
        <w:t xml:space="preserve">(11)</w:t>
      </w:r>
      <w:r>
        <w:t xml:space="preserve">, we next explored the data with a Bayesian survival analysis.</w:t>
      </w:r>
    </w:p>
    <w:bookmarkEnd w:id="28"/>
    <w:bookmarkStart w:id="29" w:name="bayesian-surival-analysis"/>
    <w:p>
      <w:pPr>
        <w:pStyle w:val="Heading3"/>
      </w:pPr>
      <w:r>
        <w:t xml:space="preserve">Bayesian surival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at a 4 year time point is 1.08, 95% credible interval (CrI 0.85 - 1.36). While the CrI approximates the previously calculated CI, it can now be used to formulate</w:t>
      </w:r>
      <w:r>
        <w:t xml:space="preserve"> </w:t>
      </w:r>
      <w:r>
        <w:t xml:space="preserve">direct probability statements. As shown in Figure 3, the use of a</w:t>
      </w:r>
      <w:r>
        <w:t xml:space="preserve"> </w:t>
      </w:r>
      <w:r>
        <w:t xml:space="preserve">pacemaker is compatible with an 75% probability of increased mortality</w:t>
      </w:r>
      <w:r>
        <w:t xml:space="preserve"> </w:t>
      </w:r>
      <w:r>
        <w:t xml:space="preserve">compared to those not receiving a pacemaker.</w:t>
      </w:r>
    </w:p>
    <w:p>
      <w:pPr>
        <w:pStyle w:val="BodyText"/>
      </w:pPr>
      <w:r>
        <w:t xml:space="preserve">Previously research using the same Swedish databases have examined the</w:t>
      </w:r>
      <w:r>
        <w:t xml:space="preserve"> </w:t>
      </w:r>
      <w:r>
        <w:t xml:space="preserve">risk of a pacemaker in patients undergoing SAVR</w:t>
      </w:r>
      <w:r>
        <w:t xml:space="preserve"> </w:t>
      </w:r>
      <w:r>
        <w:t xml:space="preserve">(2)</w:t>
      </w:r>
      <w:r>
        <w:t xml:space="preserve"> </w:t>
      </w:r>
      <w:r>
        <w:t xml:space="preserve">and found an</w:t>
      </w:r>
      <w:r>
        <w:t xml:space="preserve"> </w:t>
      </w:r>
      <w:r>
        <w:t xml:space="preserve">increased risk (HR 1.14; 95% CI, 1.01 - 1.29). Given the</w:t>
      </w:r>
      <w:r>
        <w:t xml:space="preserve"> </w:t>
      </w:r>
      <w:r>
        <w:t xml:space="preserve">similarities in the populations, everyone with aortic stenosis</w:t>
      </w:r>
      <w:r>
        <w:t xml:space="preserve"> </w:t>
      </w:r>
      <w:r>
        <w:t xml:space="preserve">undergoing treatment in the same hospitals in the same treatment</w:t>
      </w:r>
      <w:r>
        <w:t xml:space="preserve"> </w:t>
      </w:r>
      <w:r>
        <w:t xml:space="preserve">windows, it seems reasonable to use this information, down weighted as described in the Methods, to represent our</w:t>
      </w:r>
      <w:r>
        <w:t xml:space="preserve"> </w:t>
      </w:r>
      <w:r>
        <w:t xml:space="preserve">prior beliefs. With this informative prior, the HR for the no pacemaker</w:t>
      </w:r>
      <w:r>
        <w:t xml:space="preserve"> </w:t>
      </w:r>
      <w:r>
        <w:t xml:space="preserve">group is 1.14, 95% credible interval (CrI 0.95 - 1.37). Given that this</w:t>
      </w:r>
      <w:r>
        <w:t xml:space="preserve"> </w:t>
      </w:r>
      <w:r>
        <w:t xml:space="preserve">informative prior is consistent with the observed TAVR pacemaker data, the slight</w:t>
      </w:r>
      <w:r>
        <w:t xml:space="preserve"> </w:t>
      </w:r>
      <w:r>
        <w:t xml:space="preserve">rightward shift and narrowing of the 95% CrI of the marginal posterior</w:t>
      </w:r>
      <w:r>
        <w:t xml:space="preserve"> </w:t>
      </w:r>
      <w:r>
        <w:t xml:space="preserve">distribution compared to the marginal posterior with a vaguely informative prior</w:t>
      </w:r>
      <w:r>
        <w:t xml:space="preserve"> </w:t>
      </w:r>
      <w:r>
        <w:t xml:space="preserve">is to be expected (Figure 3). Using this informative prior, it can</w:t>
      </w:r>
      <w:r>
        <w:t xml:space="preserve"> </w:t>
      </w:r>
      <w:r>
        <w:t xml:space="preserve">be appreciated that the probability of increased mortality following a</w:t>
      </w:r>
      <w:r>
        <w:t xml:space="preserve"> </w:t>
      </w:r>
      <w:r>
        <w:t xml:space="preserve">pacemaker post TAVR is 94%.</w:t>
      </w:r>
    </w:p>
    <w:bookmarkEnd w:id="29"/>
    <w:bookmarkEnd w:id="30"/>
    <w:bookmarkStart w:id="31" w:name="discussion"/>
    <w:p>
      <w:pPr>
        <w:pStyle w:val="Heading2"/>
      </w:pPr>
      <w:r>
        <w:t xml:space="preserve">Discussion</w:t>
      </w:r>
    </w:p>
    <w:p>
      <w:pPr>
        <w:pStyle w:val="FirstParagraph"/>
      </w:pPr>
      <w:r>
        <w:t xml:space="preserve">In this reanalysis of the recent SWEDEHEART</w:t>
      </w:r>
      <w:r>
        <w:t xml:space="preserve"> </w:t>
      </w:r>
      <w:r>
        <w:t xml:space="preserve">registry publication</w:t>
      </w:r>
      <w:r>
        <w:t xml:space="preserve">(1)</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p>
    <w:p>
      <w:pPr>
        <w:pStyle w:val="BodyText"/>
      </w:pPr>
      <w:r>
        <w:t xml:space="preserve">The Bayesian analysis with a vague prior revealed an 75%</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94%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w:t>
      </w:r>
      <w:r>
        <w:t xml:space="preserve"> </w:t>
      </w:r>
      <w:r>
        <w:t xml:space="preserve">(12, 13)</w:t>
      </w:r>
      <w:r>
        <w:t xml:space="preserve">.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p>
    <w:p>
      <w:pPr>
        <w:pStyle w:val="BodyText"/>
      </w:pPr>
      <w:r>
        <w:t xml:space="preserve">Our study also has limitations. First, actual individual data was unavailable, which did not allow us to perform adjusted analysis with relevant covariates, limiting appropriate confounding control. Yet, we note that our frequentist results using extracted data from the reported Kaplan–Meier curve were very similar to the original paper. Thus, it is unlikely that a Bayesian analysis with actual individual data would yield highly different results compared to the ones reported in the present article. Second, because we limited our analysis to data extracted from Kaplan–Meier curves, we could only reanalyze the all-cause mortality outcome. Third, these analyses were not preregistered; hence, they are exploratory and should be interpreted with caution. Lastly, we limited our analyses to a restricted number of priors and did not perform an extensive 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r>
        <w:t xml:space="preserve"> </w:t>
      </w:r>
      <w:r>
        <w:t xml:space="preserve"> </w:t>
      </w:r>
      <w:r>
        <w:t xml:space="preserve"> </w:t>
      </w:r>
    </w:p>
    <w:bookmarkEnd w:id="31"/>
    <w:bookmarkEnd w:id="32"/>
    <w:bookmarkStart w:id="33" w:name="perspectives"/>
    <w:p>
      <w:pPr>
        <w:pStyle w:val="Heading1"/>
      </w:pPr>
      <w:r>
        <w:t xml:space="preserve">Perspectives</w:t>
      </w:r>
    </w:p>
    <w:p>
      <w:pPr>
        <w:pStyle w:val="FirstParagraph"/>
      </w:pPr>
      <w:r>
        <w:t xml:space="preserve">What Is Known?</w:t>
      </w:r>
    </w:p>
    <w:p>
      <w:pPr>
        <w:numPr>
          <w:ilvl w:val="0"/>
          <w:numId w:val="1001"/>
        </w:numPr>
        <w:pStyle w:val="Compact"/>
      </w:pPr>
      <w:r>
        <w:t xml:space="preserve">Many patients undergoing TAVR require a permanent pacemaker. A recent study involving a large population based cohort concluded that a pacemaker was not associated with increased mortality.</w:t>
      </w:r>
    </w:p>
    <w:p>
      <w:pPr>
        <w:pStyle w:val="FirstParagraph"/>
      </w:pPr>
      <w:r>
        <w:t xml:space="preserve">What Is New?</w:t>
      </w:r>
    </w:p>
    <w:p>
      <w:pPr>
        <w:numPr>
          <w:ilvl w:val="0"/>
          <w:numId w:val="1002"/>
        </w:numPr>
        <w:pStyle w:val="Compact"/>
      </w:pPr>
      <w:r>
        <w:t xml:space="preserve">This Bayesian reanalysis, using a shorter 4 year follow-up period, shows a modest to high probability of increased total mortality following pacemaker implantation</w:t>
      </w:r>
    </w:p>
    <w:p>
      <w:pPr>
        <w:pStyle w:val="FirstParagraph"/>
      </w:pPr>
      <w:r>
        <w:t xml:space="preserve">What Is Next?</w:t>
      </w:r>
    </w:p>
    <w:p>
      <w:pPr>
        <w:numPr>
          <w:ilvl w:val="0"/>
          <w:numId w:val="1003"/>
        </w:numPr>
        <w:pStyle w:val="Compact"/>
      </w:pPr>
      <w:r>
        <w:t xml:space="preserve">Prospectively planned Bayesian analyses of other datasets examining mortality and other clinically meaningful outcomes should be performed to confirm the reproducibility and generalizability of these findings.</w:t>
      </w:r>
    </w:p>
    <w:p>
      <w:r>
        <w:br w:type="page"/>
      </w:r>
    </w:p>
    <w:bookmarkEnd w:id="33"/>
    <w:bookmarkStart w:id="60" w:name="references"/>
    <w:p>
      <w:pPr>
        <w:pStyle w:val="Heading1"/>
      </w:pPr>
      <w:r>
        <w:t xml:space="preserve">References</w:t>
      </w:r>
    </w:p>
    <w:bookmarkStart w:id="59" w:name="refs"/>
    <w:bookmarkStart w:id="35"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4">
        <w:r>
          <w:rPr>
            <w:rStyle w:val="Hyperlink"/>
          </w:rPr>
          <w:t xml:space="preserve">https://www.ncbi.nlm.nih.gov/pubmed/34620397</w:t>
        </w:r>
      </w:hyperlink>
      <w:r>
        <w:t xml:space="preserve">.</w:t>
      </w:r>
    </w:p>
    <w:bookmarkEnd w:id="35"/>
    <w:bookmarkStart w:id="37"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6">
        <w:r>
          <w:rPr>
            <w:rStyle w:val="Hyperlink"/>
          </w:rPr>
          <w:t xml:space="preserve">https://www.ncbi.nlm.nih.gov/pubmed/34255050</w:t>
        </w:r>
      </w:hyperlink>
      <w:r>
        <w:t xml:space="preserve">.</w:t>
      </w:r>
    </w:p>
    <w:bookmarkEnd w:id="37"/>
    <w:bookmarkStart w:id="39" w:name="ref-RN4985"/>
    <w:p>
      <w:pPr>
        <w:pStyle w:val="Bibliography"/>
      </w:pPr>
      <w:r>
        <w:t xml:space="preserve">3. Gelman A, Carlin JB, Stern HS, Rubin DB. Bayesian data analysis. Third edition. Boca Raton: CRC Press; 2014:xiv, 661 pages. Available at:</w:t>
      </w:r>
      <w:r>
        <w:t xml:space="preserve"> </w:t>
      </w:r>
      <w:hyperlink r:id="rId38">
        <w:r>
          <w:rPr>
            <w:rStyle w:val="Hyperlink"/>
          </w:rPr>
          <w:t xml:space="preserve">Cover image http://images.tandf.co.uk/common/jackets/websmall/978143984/9781439840955.jpg</w:t>
        </w:r>
      </w:hyperlink>
      <w:r>
        <w:t xml:space="preserve">.</w:t>
      </w:r>
    </w:p>
    <w:bookmarkEnd w:id="39"/>
    <w:bookmarkStart w:id="41"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40">
        <w:r>
          <w:rPr>
            <w:rStyle w:val="Hyperlink"/>
          </w:rPr>
          <w:t xml:space="preserve">https://www.ncbi.nlm.nih.gov/pubmed/22297116</w:t>
        </w:r>
      </w:hyperlink>
      <w:r>
        <w:t xml:space="preserve">.</w:t>
      </w:r>
    </w:p>
    <w:bookmarkEnd w:id="41"/>
    <w:bookmarkStart w:id="43" w:name="ref-R"/>
    <w:p>
      <w:pPr>
        <w:pStyle w:val="Bibliography"/>
      </w:pPr>
      <w:r>
        <w:t xml:space="preserve">5. R Core Team. R: A language and environment for statistical computing. Vienna, Austria: R Foundation for Statistical Computing; 2021. Available at:</w:t>
      </w:r>
      <w:r>
        <w:t xml:space="preserve"> </w:t>
      </w:r>
      <w:hyperlink r:id="rId42">
        <w:r>
          <w:rPr>
            <w:rStyle w:val="Hyperlink"/>
          </w:rPr>
          <w:t xml:space="preserve">https://www.R-project.org/</w:t>
        </w:r>
      </w:hyperlink>
      <w:r>
        <w:t xml:space="preserve">.</w:t>
      </w:r>
    </w:p>
    <w:bookmarkEnd w:id="43"/>
    <w:bookmarkStart w:id="45" w:name="ref-IPDfromKM"/>
    <w:p>
      <w:pPr>
        <w:pStyle w:val="Bibliography"/>
      </w:pPr>
      <w:r>
        <w:t xml:space="preserve">6. Liu N, Lee JJ. IPDfromKM: Map digitized survival curves back to individual patient data.; 2020. Available at:</w:t>
      </w:r>
      <w:r>
        <w:t xml:space="preserve"> </w:t>
      </w:r>
      <w:hyperlink r:id="rId44">
        <w:r>
          <w:rPr>
            <w:rStyle w:val="Hyperlink"/>
          </w:rPr>
          <w:t xml:space="preserve">https://CRAN.R-project.org/package=IPDfromKM</w:t>
        </w:r>
      </w:hyperlink>
      <w:r>
        <w:t xml:space="preserve">.</w:t>
      </w:r>
    </w:p>
    <w:bookmarkEnd w:id="45"/>
    <w:bookmarkStart w:id="47" w:name="ref-stan"/>
    <w:p>
      <w:pPr>
        <w:pStyle w:val="Bibliography"/>
      </w:pPr>
      <w:r>
        <w:t xml:space="preserve">7.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6">
        <w:r>
          <w:rPr>
            <w:rStyle w:val="Hyperlink"/>
          </w:rPr>
          <w:t xml:space="preserve">http://mc-stan.org/ 5</w:t>
        </w:r>
      </w:hyperlink>
      <w:r>
        <w:t xml:space="preserve">.</w:t>
      </w:r>
    </w:p>
    <w:bookmarkEnd w:id="47"/>
    <w:bookmarkStart w:id="49" w:name="ref-rstanarm"/>
    <w:p>
      <w:pPr>
        <w:pStyle w:val="Bibliography"/>
      </w:pPr>
      <w:r>
        <w:t xml:space="preserve">8. Brilleman SL, Elci EM, Novik JB, Wolfe R. Bayesian survival analysis using the rstanarm r package. 2020. Available at:</w:t>
      </w:r>
      <w:r>
        <w:t xml:space="preserve"> </w:t>
      </w:r>
      <w:hyperlink r:id="rId48">
        <w:r>
          <w:rPr>
            <w:rStyle w:val="Hyperlink"/>
          </w:rPr>
          <w:t xml:space="preserve">https://arxiv.org/abs/2002.09633</w:t>
        </w:r>
      </w:hyperlink>
      <w:r>
        <w:t xml:space="preserve">.</w:t>
      </w:r>
    </w:p>
    <w:bookmarkEnd w:id="49"/>
    <w:bookmarkStart w:id="50" w:name="ref-mcelreath2020"/>
    <w:p>
      <w:pPr>
        <w:pStyle w:val="Bibliography"/>
      </w:pPr>
      <w:r>
        <w:t xml:space="preserve">9.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50"/>
    <w:bookmarkStart w:id="52" w:name="ref-Austin"/>
    <w:p>
      <w:pPr>
        <w:pStyle w:val="Bibliography"/>
      </w:pPr>
      <w:r>
        <w:t xml:space="preserve">10. Austin PC. Statistical power to detect violation of the proportional hazards assumption when using the cox regression model. Journal of Statistical Computation and Simulation 2018;88(3):533–552. Available at:</w:t>
      </w:r>
      <w:hyperlink r:id="rId51">
        <w:r>
          <w:rPr>
            <w:rStyle w:val="Hyperlink"/>
          </w:rPr>
          <w:t xml:space="preserve"> https://doi.org/10.1080/00949655.2017.1397151</w:t>
        </w:r>
      </w:hyperlink>
      <w:r>
        <w:t xml:space="preserve">.</w:t>
      </w:r>
    </w:p>
    <w:bookmarkEnd w:id="52"/>
    <w:bookmarkStart w:id="54" w:name="ref-RN5433"/>
    <w:p>
      <w:pPr>
        <w:pStyle w:val="Bibliography"/>
      </w:pPr>
      <w:r>
        <w:t xml:space="preserve">11. Greenland S.</w:t>
      </w:r>
      <w:r>
        <w:t xml:space="preserve"> </w:t>
      </w:r>
      <w:r>
        <w:t xml:space="preserve">Invited Commentary: The Need for Cognitive Science in Methodology</w:t>
      </w:r>
      <w:r>
        <w:t xml:space="preserve">. American Journal of Epidemiology 2017;186(6):639–645. Available at:</w:t>
      </w:r>
      <w:r>
        <w:t xml:space="preserve"> </w:t>
      </w:r>
      <w:hyperlink r:id="rId53">
        <w:r>
          <w:rPr>
            <w:rStyle w:val="Hyperlink"/>
          </w:rPr>
          <w:t xml:space="preserve">https://doi.org/10.1093/aje/kwx259</w:t>
        </w:r>
      </w:hyperlink>
      <w:r>
        <w:t xml:space="preserve">.</w:t>
      </w:r>
    </w:p>
    <w:bookmarkEnd w:id="54"/>
    <w:bookmarkStart w:id="56" w:name="ref-brophy"/>
    <w:p>
      <w:pPr>
        <w:pStyle w:val="Bibliography"/>
      </w:pPr>
      <w:r>
        <w:t xml:space="preserve">12. Brophy JM. Bayesian interpretation of the EXCEL trial and other randomized clinical trials of left main coronary artery revascularization. JAMA Intern Med 2020;180(7):986–992. Available at:</w:t>
      </w:r>
      <w:r>
        <w:t xml:space="preserve"> </w:t>
      </w:r>
      <w:hyperlink r:id="rId55">
        <w:r>
          <w:rPr>
            <w:rStyle w:val="Hyperlink"/>
          </w:rPr>
          <w:t xml:space="preserve">https://www.ncbi.nlm.nih.gov/pubmed/32478838</w:t>
        </w:r>
      </w:hyperlink>
      <w:r>
        <w:t xml:space="preserve">.</w:t>
      </w:r>
    </w:p>
    <w:bookmarkEnd w:id="56"/>
    <w:bookmarkStart w:id="58" w:name="ref-goligher"/>
    <w:p>
      <w:pPr>
        <w:pStyle w:val="Bibliography"/>
      </w:pPr>
      <w:r>
        <w:t xml:space="preserve">13.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57">
        <w:r>
          <w:rPr>
            <w:rStyle w:val="Hyperlink"/>
          </w:rPr>
          <w:t xml:space="preserve">https://www.ncbi.nlm.nih.gov/pubmed/30347031</w:t>
        </w:r>
      </w:hyperlink>
      <w:r>
        <w:t xml:space="preserve">.</w:t>
      </w:r>
    </w:p>
    <w:bookmarkEnd w:id="58"/>
    <w:bookmarkEnd w:id="59"/>
    <w:p>
      <w:r>
        <w:br w:type="page"/>
      </w:r>
    </w:p>
    <w:bookmarkEnd w:id="60"/>
    <w:bookmarkStart w:id="61"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Data, Prior, and Posterior Distributions of the Hazard Ratio (4-year time window)</w:t>
      </w:r>
    </w:p>
    <w:p>
      <w:pPr>
        <w:pStyle w:val="BodyText"/>
      </w:pPr>
      <w:r>
        <w:t xml:space="preserve">These figures show the underlying data along with Bayesian priors and marginal posterior distributions regarding analyses restricted to 4-year time-window. Interval bars depict the median and 95% credible intervals of each marginal posterior distribution. Colored filled areas depict the area under the curve above HR of 1.0, which represents the posterior probability above 1.0 (75% in Panel A, and 94% in Panel B). In both panels,</w:t>
      </w:r>
      <w:r>
        <w:t xml:space="preserve"> </w:t>
      </w:r>
      <w:r>
        <w:t xml:space="preserve">“</w:t>
      </w:r>
      <w:r>
        <w:t xml:space="preserve">Data</w:t>
      </w:r>
      <w:r>
        <w:t xml:space="preserve">”</w:t>
      </w:r>
      <w:r>
        <w:t xml:space="preserve"> </w:t>
      </w:r>
      <w:r>
        <w:t xml:space="preserve">regards the result from the frequentist Cox proportional hazards model restricted to 4-year time-window (HR = 1.14, 95% CI 0.9 - 1.43). Moreover, Panel A shows a vague, flat prior (HR = 1, 95% CI 0.01 - 134.29) along with the resulting marginal posterior distribution. Panel B shows the informative prior based on previous work, yet downweighted by 50% (HR = 1.14, 95% CI 0.95 - 1.37) along with the resulting marginal posterior distribution. Panel B may be used as our</w:t>
      </w:r>
      <w:r>
        <w:t xml:space="preserve"> </w:t>
      </w:r>
      <w:r>
        <w:rPr>
          <w:bCs/>
          <w:b/>
        </w:rPr>
        <w:t xml:space="preserve">central illustration</w:t>
      </w:r>
      <w:r>
        <w:t xml:space="preserv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 https://doi.org/10.1080/00949655.2017.1397151" TargetMode="External" /><Relationship Type="http://schemas.openxmlformats.org/officeDocument/2006/relationships/hyperlink" Id="rId38"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4"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53"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2" Target="https://www.R-project.org/" TargetMode="External" /><Relationship Type="http://schemas.openxmlformats.org/officeDocument/2006/relationships/hyperlink" Id="rId40" Target="https://www.ncbi.nlm.nih.gov/pubmed/22297116" TargetMode="External" /><Relationship Type="http://schemas.openxmlformats.org/officeDocument/2006/relationships/hyperlink" Id="rId57" Target="https://www.ncbi.nlm.nih.gov/pubmed/30347031" TargetMode="External" /><Relationship Type="http://schemas.openxmlformats.org/officeDocument/2006/relationships/hyperlink" Id="rId55" Target="https://www.ncbi.nlm.nih.gov/pubmed/32478838" TargetMode="External" /><Relationship Type="http://schemas.openxmlformats.org/officeDocument/2006/relationships/hyperlink" Id="rId36" Target="https://www.ncbi.nlm.nih.gov/pubmed/34255050" TargetMode="External" /><Relationship Type="http://schemas.openxmlformats.org/officeDocument/2006/relationships/hyperlink" Id="rId34" Target="https://www.ncbi.nlm.nih.gov/pubmed/34620397" TargetMode="External" /><Relationship Type="http://schemas.openxmlformats.org/officeDocument/2006/relationships/hyperlink" Id="rId20" Target="mailto:james.brophy@mcgill.ca" TargetMode="External" /></Relationships>
</file>

<file path=word/_rels/footnotes.xml.rels><?xml version="1.0" encoding="UTF-8"?>
<Relationships xmlns="http://schemas.openxmlformats.org/package/2006/relationships"><Relationship Type="http://schemas.openxmlformats.org/officeDocument/2006/relationships/hyperlink" Id="rId51" Target=" https://doi.org/10.1080/00949655.2017.1397151" TargetMode="External" /><Relationship Type="http://schemas.openxmlformats.org/officeDocument/2006/relationships/hyperlink" Id="rId38"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4"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53"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2" Target="https://www.R-project.org/" TargetMode="External" /><Relationship Type="http://schemas.openxmlformats.org/officeDocument/2006/relationships/hyperlink" Id="rId40" Target="https://www.ncbi.nlm.nih.gov/pubmed/22297116" TargetMode="External" /><Relationship Type="http://schemas.openxmlformats.org/officeDocument/2006/relationships/hyperlink" Id="rId57" Target="https://www.ncbi.nlm.nih.gov/pubmed/30347031" TargetMode="External" /><Relationship Type="http://schemas.openxmlformats.org/officeDocument/2006/relationships/hyperlink" Id="rId55" Target="https://www.ncbi.nlm.nih.gov/pubmed/32478838" TargetMode="External" /><Relationship Type="http://schemas.openxmlformats.org/officeDocument/2006/relationships/hyperlink" Id="rId36" Target="https://www.ncbi.nlm.nih.gov/pubmed/34255050" TargetMode="External" /><Relationship Type="http://schemas.openxmlformats.org/officeDocument/2006/relationships/hyperlink" Id="rId34" Target="https://www.ncbi.nlm.nih.gov/pubmed/34620397" TargetMode="External" /><Relationship Type="http://schemas.openxmlformats.org/officeDocument/2006/relationships/hyperlink" Id="rId20" Target="mailto:james.brophy@mcgil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2021-11-12T00:29:23Z</dcterms:created>
  <dcterms:modified xsi:type="dcterms:W3CDTF">2021-11-12T00:29:23Z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