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Country breakdown by property manager</w:t>
      </w:r>
    </w:p>
    <w:p w:rsidP="00000000" w:rsidRPr="00000000" w:rsidR="00000000" w:rsidDel="00000000" w:rsidRDefault="00000000">
      <w:pPr>
        <w:keepNext w:val="0"/>
        <w:keepLines w:val="0"/>
        <w:widowControl w:val="0"/>
        <w:contextualSpacing w:val="0"/>
      </w:pPr>
      <w:hyperlink r:id="rId5">
        <w:r w:rsidRPr="00000000" w:rsidR="00000000" w:rsidDel="00000000">
          <w:rPr>
            <w:b w:val="1"/>
            <w:color w:val="1155cc"/>
            <w:u w:val="single"/>
            <w:rtl w:val="0"/>
          </w:rPr>
          <w:t xml:space="preserve">http://www.pathwaygds.com/xt/suppliers/</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Supplier Commission Ranges*</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Any Friend of Ours 7.5%+</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Belvilla 9%+</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Freelance Holidays 10%</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Mallorca Farmhouses 10%+</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Novasol 8%+</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Nox Rentals 15%+</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Quality Villas 8%+</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Rent Villas France 9%</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Solmar Villas 7% to 10%</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Villa Select 7% to 10%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payment processing requirements also varies depending on the channel. i.e. some will want the channel manager to take payment and look after the booking for maximum commission payment but they may also take affiliate traffic for a lower commission.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link below shows the country breakdown by property manager: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are updating feeds from two of our suppliers:</w:t>
      </w:r>
      <w:hyperlink r:id="rId6">
        <w:r w:rsidRPr="00000000" w:rsidR="00000000" w:rsidDel="00000000">
          <w:rPr>
            <w:rtl w:val="0"/>
          </w:rPr>
          <w:t xml:space="preserve"> </w:t>
        </w:r>
      </w:hyperlink>
      <w:hyperlink r:id="rId7">
        <w:r w:rsidRPr="00000000" w:rsidR="00000000" w:rsidDel="00000000">
          <w:rPr>
            <w:color w:val="1155cc"/>
            <w:u w:val="single"/>
            <w:rtl w:val="0"/>
          </w:rPr>
          <w:t xml:space="preserve">http://www.noxrentals.co.za/</w:t>
        </w:r>
      </w:hyperlink>
      <w:r w:rsidRPr="00000000" w:rsidR="00000000" w:rsidDel="00000000">
        <w:rPr>
          <w:rtl w:val="0"/>
        </w:rPr>
        <w:t xml:space="preserve"> </w:t>
      </w:r>
      <w:hyperlink r:id="rId8">
        <w:r w:rsidRPr="00000000" w:rsidR="00000000" w:rsidDel="00000000">
          <w:rPr>
            <w:rtl w:val="0"/>
          </w:rPr>
          <w:t xml:space="preserve"> </w:t>
        </w:r>
      </w:hyperlink>
      <w:hyperlink r:id="rId9">
        <w:r w:rsidRPr="00000000" w:rsidR="00000000" w:rsidDel="00000000">
          <w:rPr>
            <w:color w:val="1155cc"/>
            <w:u w:val="single"/>
            <w:rtl w:val="0"/>
          </w:rPr>
          <w:t xml:space="preserve">http://www.solmarvillas.com/</w:t>
        </w:r>
      </w:hyperlink>
      <w:r w:rsidRPr="00000000" w:rsidR="00000000" w:rsidDel="00000000">
        <w:rPr>
          <w:rtl w:val="0"/>
        </w:rPr>
        <w:t xml:space="preserve"> so they are not currently showing on the list.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are also in the middle of integrating a Florida specialist that will bring an additional 17,000 properties (luxury villas, condos &amp; townhouses) into Pathway GDS.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solmarvillas.com/" Type="http://schemas.openxmlformats.org/officeDocument/2006/relationships/hyperlink" TargetMode="External" Id="rId9"/><Relationship Target="http://www.noxrentals.co.za/" Type="http://schemas.openxmlformats.org/officeDocument/2006/relationships/hyperlink" TargetMode="External" Id="rId6"/><Relationship Target="http://www.pathwaygds.com/xt/suppliers/" Type="http://schemas.openxmlformats.org/officeDocument/2006/relationships/hyperlink" TargetMode="External" Id="rId5"/><Relationship Target="http://www.solmarvillas.com/" Type="http://schemas.openxmlformats.org/officeDocument/2006/relationships/hyperlink" TargetMode="External" Id="rId8"/><Relationship Target="http://www.noxrentals.co.z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 GDS Info.docx</dc:title>
</cp:coreProperties>
</file>