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considerations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truest self-interest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is profitable for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See ch. xviii.</w:t>
        <w:br w:type="textWrapping"/>
        <w:t xml:space="preserve">8, 9, and notes.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31 32.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THIRD EXAMPLE.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law of</w:t>
        <w:br w:type="textWrapping"/>
        <w:t xml:space="preserve">divorce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See note on ch. xix. 7–9. Lightfoot gives a form of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writing of divorcement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which was a divorcement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mensâ</w:t>
        <w:br w:type="textWrapping"/>
        <w:t xml:space="preserve">et thoro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placed the woman absolutely in her own power, to marry whom</w:t>
        <w:br w:type="textWrapping"/>
        <w:t xml:space="preserve">she pleased. In Deut. xxiv. 1, the allowable reason of divorce is ‘some uncleanness.’ This the disciples of Shammai interpreted only of adultery; those of Hillel of any thing which amounted to uncleanness in the eyes of the husband.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fornication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must be taken to mean</w:t>
        <w:br w:type="textWrapping"/>
        <w:t xml:space="preserve">sin, not only before marriage, but after it</w:t>
        <w:br w:type="textWrapping"/>
        <w:t xml:space="preserve">also, in a wider sense, as including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adultery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likewise. In the similar places, Mark x.</w:t>
        <w:br w:type="textWrapping"/>
        <w:t xml:space="preserve">11; Luke xvi. 18, this exception does not</w:t>
        <w:br w:type="textWrapping"/>
        <w:t xml:space="preserve">occur; see however our ch. xix. 9. The</w:t>
        <w:br w:type="textWrapping"/>
        <w:t xml:space="preserve">figurative senses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fornication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cannot be</w:t>
        <w:br w:type="textWrapping"/>
        <w:t xml:space="preserve">admissible here, as the law is one having</w:t>
        <w:br w:type="textWrapping"/>
        <w:t xml:space="preserve">reference to a definite point in actual life;</w:t>
        <w:br w:type="textWrapping"/>
        <w:t xml:space="preserve">and this, its aim and end, restricts the</w:t>
        <w:br w:type="textWrapping"/>
        <w:t xml:space="preserve">meaning to that kind of fornication immediately applicable to the case. Otherwise this one strictly guarded exception</w:t>
        <w:br w:type="textWrapping"/>
        <w:t xml:space="preserve">would give indefinite and universal latitude.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causeth her to commit adultery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viz. by her second marriage, thus</w:t>
        <w:br w:type="textWrapping"/>
        <w:t xml:space="preserve">put within her power.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whosoever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How far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marriage of the innocent party after separation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(on account of fornication)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forbidden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this or the</w:t>
        <w:br w:type="textWrapping"/>
        <w:t xml:space="preserve">similar passage ch. xix. 9, is a weighty</w:t>
        <w:br w:type="textWrapping"/>
        <w:t xml:space="preserve">and difficult question. By the Roman</w:t>
        <w:br w:type="textWrapping"/>
        <w:t xml:space="preserve">Church such marriage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strictly forbidden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 authority of Augustine much cited, who strongly upholds this view, but</w:t>
        <w:br w:type="textWrapping"/>
        <w:t xml:space="preserve">not without misgivings later in life. On</w:t>
        <w:br w:type="textWrapping"/>
        <w:t xml:space="preserve">the other hand, the Protestant and Greek</w:t>
        <w:br w:type="textWrapping"/>
        <w:t xml:space="preserve">Churches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such marriage.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tainly it would appear, from the literal</w:t>
        <w:br w:type="textWrapping"/>
        <w:t xml:space="preserve">meaning of our Lord’s words, that 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should not be allowed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if by such</w:t>
        <w:br w:type="textWrapping"/>
        <w:t xml:space="preserve">divorce the marriage be altogether dissolved, how can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said to</w:t>
        <w:br w:type="textWrapping"/>
        <w:t xml:space="preserve">commit adultery by a second marriage?</w:t>
        <w:br w:type="textWrapping"/>
        <w:t xml:space="preserve">or how will St. Paul’s precept (1 Cor. vii.</w:t>
        <w:br w:type="textWrapping"/>
        <w:t xml:space="preserve">11) find place? for stating this as St. Paul</w:t>
        <w:br w:type="textWrapping"/>
        <w:t xml:space="preserve">does, prefaced by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but</w:t>
        <w:br w:type="textWrapping"/>
        <w:t xml:space="preserve">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it must be understood, and has</w:t>
        <w:br w:type="textWrapping"/>
        <w:t xml:space="preserve">been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ken,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referring to this very verse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rather (see note there) to ch. xix. 6 ff.,</w:t>
        <w:br w:type="textWrapping"/>
        <w:t xml:space="preserve">and consequently can only suppose fornication as the cause. Besides which, the tenor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our Lord’s teaching in other places (see</w:t>
        <w:br w:type="textWrapping"/>
        <w:t xml:space="preserve">above) seems to set before us the state of</w:t>
        <w:br w:type="textWrapping"/>
        <w:t xml:space="preserve">marriage as absolutely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indissoluble as 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however he may sanction the expulsion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  <w:br w:type="textWrapping"/>
        <w:t xml:space="preserve">mens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â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et thoro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an unfaithful wife. Those</w:t>
        <w:br w:type="textWrapping"/>
        <w:t xml:space="preserve">who defend the other view suppose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divorced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mean,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unlawfully divorced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for fornication: and certainly this is not improbable. We may well leave a matter in</w:t>
        <w:br w:type="textWrapping"/>
        <w:t xml:space="preserve">doubt, of which Augustine could say, that</w:t>
        <w:br w:type="textWrapping"/>
        <w:t xml:space="preserve">it was so obscure, that error on either side</w:t>
        <w:br w:type="textWrapping"/>
        <w:t xml:space="preserve">is venial.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3—37.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FOURTH 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</w:t>
        <w:br w:type="textWrapping"/>
        <w:t xml:space="preserve">of oaths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3, 34.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exact meaning of these verses is to be ascertained by</w:t>
        <w:br w:type="textWrapping"/>
        <w:t xml:space="preserve">two considerations. {33} (1) That the Jews</w:t>
        <w:br w:type="textWrapping"/>
        <w:t xml:space="preserve">held all those oaths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 to be binding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sacred name of God did not</w:t>
        <w:br w:type="textWrapping"/>
        <w:t xml:space="preserve">directly occur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Philo and Lightfoot</w:t>
        <w:br w:type="textWrapping"/>
        <w:t xml:space="preserve">cited in my Gr. Test. A stress is to be</w:t>
        <w:br w:type="textWrapping"/>
        <w:t xml:space="preserve">laid on this technical distinction in the</w:t>
        <w:br w:type="textWrapping"/>
        <w:t xml:space="preserve">quotation made by our Lord; and we</w:t>
        <w:br w:type="textWrapping"/>
        <w:t xml:space="preserve">must understand as belonging to the</w:t>
        <w:br w:type="textWrapping"/>
        <w:t xml:space="preserve">quotation, ‘but whatever thou shalt swear</w:t>
        <w:br w:type="textWrapping"/>
        <w:t xml:space="preserve">not to the Lord may be transgressed.’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(2) Then our Lord passes so far beyond</w:t>
        <w:br w:type="textWrapping"/>
        <w:t xml:space="preserve">this rule, that He lays down (including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the understanding that all oaths must,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kept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that they are all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CvVpWoGGdftHPDGYN4qjhtqMGA==">CgMxLjA4AHIhMXFDNFYzRzFCS0ltbnliZ1VxSF9EVWlzY2hBaWVESUd6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