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openly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before men and angels;</w:t>
        <w:br w:type="textWrapping"/>
        <w:t xml:space="preserve">at the resurrection of the just.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5-15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SECOND EXAMPLE.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 standing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 stress must be</w:t>
        <w:br w:type="textWrapping"/>
        <w:t xml:space="preserve">laid on this word as implying ostentation;</w:t>
        <w:br w:type="textWrapping"/>
        <w:t xml:space="preserve">for it was the ordinary posture of prayer.</w:t>
        <w:br w:type="textWrapping"/>
        <w:t xml:space="preserve">See 1 Sam. i. 26: 1 Kings viii. 22. The</w:t>
        <w:br w:type="textWrapping"/>
        <w:t xml:space="preserve">command in Mark (xi. 25) runs,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 ye</w:t>
        <w:br w:type="textWrapping"/>
        <w:t xml:space="preserve">stand praying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...” See also Luke xviii. 11,</w:t>
        <w:br w:type="textWrapping"/>
        <w:t xml:space="preserve">13. Indeed, of the two positions of prayer,</w:t>
        <w:br w:type="textWrapping"/>
        <w:t xml:space="preserve">considering the place, kneeling would have</w:t>
        <w:br w:type="textWrapping"/>
        <w:t xml:space="preserve">been the more singular and savouring of</w:t>
        <w:br w:type="textWrapping"/>
        <w:t xml:space="preserve">ostentation.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synagogues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places</w:t>
        <w:br w:type="textWrapping"/>
        <w:t xml:space="preserve">of prayer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so that, as Theophylact, it is</w:t>
        <w:br w:type="textWrapping"/>
        <w:t xml:space="preserve">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matters,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manner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 enter,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Both Chrysostom and Augustine caution</w:t>
        <w:br w:type="textWrapping"/>
        <w:t xml:space="preserve">us against taking this merely literally:</w:t>
        <w:br w:type="textWrapping"/>
        <w:t xml:space="preserve">and warn us, as above, that there may</w:t>
        <w:br w:type="textWrapping"/>
        <w:t xml:space="preserve">ostentation even in the secret chamber, as</w:t>
        <w:br w:type="textWrapping"/>
        <w:t xml:space="preserve">there may be the avoiding of it in the</w:t>
        <w:br w:type="textWrapping"/>
        <w:t xml:space="preserve">open church.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the original</w:t>
        <w:br w:type="textWrapping"/>
        <w:t xml:space="preserve">meaning of the word rendered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use vain</w:t>
        <w:br w:type="textWrapping"/>
        <w:t xml:space="preserve">repetitions,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see in my Gr. Test. Taking</w:t>
        <w:br w:type="textWrapping"/>
        <w:t xml:space="preserve">the word in its largest meaning, that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saying things irrelevant and senseless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</w:t>
        <w:br w:type="textWrapping"/>
        <w:t xml:space="preserve">may well include all the various senses contended for. What is forbidden is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praying, for our Lord Himself</w:t>
        <w:br w:type="textWrapping"/>
        <w:t xml:space="preserve">seed whole nights in prayer: not praying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same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 this He did in</w:t>
        <w:br w:type="textWrapping"/>
        <w:t xml:space="preserve">the very intensity of His agony at Gethsemane; but the making number and</w:t>
        <w:br w:type="textWrapping"/>
        <w:t xml:space="preserve">length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point of observance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imagining that prayer will be heard, not</w:t>
        <w:br w:type="textWrapping"/>
        <w:t xml:space="preserve">because it is the genuine expression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desire of faith, but because it is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repeated. The repetitions of Paternosters</w:t>
        <w:br w:type="textWrapping"/>
        <w:t xml:space="preserve">and Ave Marias in the Romish Church,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them,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direct violation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this precept;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umber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repetitions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efficacy of the</w:t>
        <w:br w:type="textWrapping"/>
        <w:t xml:space="preserve">performance made to depend on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the repetition of the Lord’s Prayer in the</w:t>
        <w:br w:type="textWrapping"/>
        <w:t xml:space="preserve">Liturgy of the Church of England is not</w:t>
        <w:br w:type="textWrapping"/>
        <w:t xml:space="preserve">a violation of it, nor that of the Kyrie</w:t>
        <w:br w:type="textWrapping"/>
        <w:t xml:space="preserve">Eleison, because it is not the number of</w:t>
        <w:br w:type="textWrapping"/>
        <w:t xml:space="preserve">these which is the object, but each has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appropriate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that</w:t>
        <w:br w:type="textWrapping"/>
        <w:t xml:space="preserve">which is pre-eminently a reasonable service. Our Lord was also denouncing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error. Lightfoot quotes from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abbinical writings,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one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multiplies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prayer, is heard.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LORD’S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lender proof of what is</w:t>
        <w:br w:type="textWrapping"/>
        <w:t xml:space="preserve">often asserted, that our Lord took nearly</w:t>
        <w:br w:type="textWrapping"/>
        <w:t xml:space="preserve">the whole of this prayer from existing</w:t>
        <w:br w:type="textWrapping"/>
        <w:t xml:space="preserve">Jewish formal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 that such a view of</w:t>
        <w:br w:type="textWrapping"/>
        <w:t xml:space="preserve">the matter would contain in it any thing</w:t>
        <w:br w:type="textWrapping"/>
        <w:t xml:space="preserve">irreverent or objectionable; for if pio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Jews had framed such petitions, our Lord,</w:t>
        <w:br w:type="textWrapping"/>
        <w:t xml:space="preserve">who came to fulfil every thing that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 the Old Covenant, might, in a</w:t>
        <w:br w:type="textWrapping"/>
        <w:t xml:space="preserve">higher sense and spiritual meaning, have</w:t>
        <w:br w:type="textWrapping"/>
        <w:t xml:space="preserve">recommended the same forms to His disciples. But such does not appear to have</w:t>
        <w:br w:type="textWrapping"/>
        <w:t xml:space="preserve">been the fact. Lightfoot produces only the</w:t>
        <w:br w:type="textWrapping"/>
        <w:t xml:space="preserve">most general common-place parallels for</w:t>
        <w:br w:type="textWrapping"/>
        <w:t xml:space="preserve">the petitions, from the Rabbinical books.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regard to the prayer itself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x/XKP32qxTcJkppLXnV0yGdCDg==">AMUW2mVdGr7Erkt3qeP7rKRfuTxwWFFkqB/+9EcJySSMZMUnHcUROFHPqGl0OJC4W5uAXny0BipSnnqB+1B9U3t7qBjtoG6TDc3y/RLh5Nus6Ey2hRCBtzY=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