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neuter; the introduction of the mention</w:t>
        <w:br w:type="textWrapping"/>
        <w:t xml:space="preserve">of the ‘evil one’ would seem here to 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incongruous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Besides, compare the words</w:t>
        <w:br w:type="textWrapping"/>
        <w:t xml:space="preserve">of St. Paul, 2 Tim. iv. 18, which look very</w:t>
        <w:br w:type="textWrapping"/>
        <w:t xml:space="preserve">like a reminiscence of this prayer: see</w:t>
        <w:br w:type="textWrapping"/>
        <w:t xml:space="preserve">note there) these words form a seventh</w:t>
        <w:br w:type="textWrapping"/>
        <w:t xml:space="preserve">and most affecting petition, reaching far</w:t>
        <w:br w:type="textWrapping"/>
        <w:t xml:space="preserve">beyond the last.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the expression</w:t>
        <w:br w:type="textWrapping"/>
        <w:t xml:space="preserve">of the yearning for redemption of the sons</w:t>
        <w:br w:type="textWrapping"/>
        <w:t xml:space="preserve">of God (Rom. viii. 28), and so are fitly</w:t>
        <w:br w:type="textWrapping"/>
        <w:t xml:space="preserve">placed at the end of the prayer, and as the</w:t>
        <w:br w:type="textWrapping"/>
        <w:t xml:space="preserve">sum and substance of the personal petitions.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doxology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on every ground of</w:t>
        <w:br w:type="textWrapping"/>
        <w:t xml:space="preserve">sound criticism be omitted. Had it</w:t>
        <w:br w:type="textWrapping"/>
        <w:t xml:space="preserve">formed part of the original text, it is absolutely inconceivable that almost all the</w:t>
        <w:br w:type="textWrapping"/>
        <w:t xml:space="preserve">ancient authorities should with one consent</w:t>
        <w:br w:type="textWrapping"/>
        <w:t xml:space="preserve">have omitted it. They could have had no</w:t>
        <w:br w:type="textWrapping"/>
        <w:t xml:space="preserve">reason for doing so; whereas the habit of</w:t>
        <w:br w:type="textWrapping"/>
        <w:t xml:space="preserve">terminating liturgical prayers with ascriptions of praise would naturally suggest</w:t>
        <w:br w:type="textWrapping"/>
        <w:t xml:space="preserve">some such ending, and make its insertion</w:t>
        <w:br w:type="textWrapping"/>
        <w:t xml:space="preserve">almost certain in course of time. And</w:t>
        <w:br w:type="textWrapping"/>
        <w:t xml:space="preserve">just correspondent to this is the evidence.</w:t>
        <w:br w:type="textWrapping"/>
        <w:t xml:space="preserve">We find,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absolutely no trace of it in early</w:t>
        <w:br w:type="textWrapping"/>
        <w:t xml:space="preserve">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any family of MSS. or in any</w:t>
        <w:br w:type="textWrapping"/>
        <w:t xml:space="preserve">expositors. The ancient Syriac version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it, but whether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always 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</w:t>
        <w:br w:type="textWrapping"/>
        <w:t xml:space="preserve">another question. It is quite open for us</w:t>
        <w:br w:type="textWrapping"/>
        <w:t xml:space="preserve">to regard it with Euthymius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solemn</w:t>
        <w:br w:type="textWrapping"/>
        <w:t xml:space="preserve">ending, added by the holy lights and leaders of the Church,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to retain it as such</w:t>
        <w:br w:type="textWrapping"/>
        <w:t xml:space="preserve">in our liturgies; but in dealing with the</w:t>
        <w:br w:type="textWrapping"/>
        <w:t xml:space="preserve">sacred text we must not allow any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à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prior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considerations, of which we are such poor</w:t>
        <w:br w:type="textWrapping"/>
        <w:t xml:space="preserve">judges, to outweigh the almost unanimous</w:t>
        <w:br w:type="textWrapping"/>
        <w:t xml:space="preserve">testimony of antiquity. The inference to</w:t>
        <w:br w:type="textWrapping"/>
        <w:t xml:space="preserve">be drawn from the words of St. Paul, 2</w:t>
        <w:br w:type="textWrapping"/>
        <w:t xml:space="preserve">Tim. iv. 18, is rather against, than for the</w:t>
        <w:br w:type="textWrapping"/>
        <w:t xml:space="preserve">genuineness of the doxology. The fact</w:t>
        <w:br w:type="textWrapping"/>
        <w:t xml:space="preserve">that he there adds a doxology, different</w:t>
        <w:br w:type="textWrapping"/>
        <w:t xml:space="preserve">from that commonly read here, seems to</w:t>
        <w:br w:type="textWrapping"/>
        <w:br w:type="textWrapping"/>
        <w:t xml:space="preserve">testify to the practice, begun thus early,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Lord’s prayer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solemn ascription of glory to God. This</w:t>
        <w:br w:type="textWrapping"/>
        <w:t xml:space="preserve">eventually fell into one conventional form,</w:t>
        <w:br w:type="textWrapping"/>
        <w:t xml:space="preserve">and thus got inserted in the sacred text.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14, 1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{14} Our Lord returns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to</w:t>
        <w:br w:type="textWrapping"/>
        <w:t xml:space="preserve">explain the only part of the prayer which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peculiarly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belonged to the new law of</w:t>
        <w:br w:type="textWrapping"/>
        <w:t xml:space="preserve">Jove, and enforces it by a solemn assurance.</w:t>
        <w:br w:type="textWrapping"/>
        <w:t xml:space="preserve">{15} On the sense, see Mark xi. 25, and the</w:t>
        <w:br w:type="textWrapping"/>
        <w:t xml:space="preserve">remarkable parallel, Ecclesiasticus xxviii. 2: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orgive thy neighbour the hurt that he</w:t>
        <w:br w:type="textWrapping"/>
        <w:t xml:space="preserve">hath done unto thee, so shall thy sins also</w:t>
        <w:br w:type="textWrapping"/>
        <w:t xml:space="preserve">be forgiven when thou prayest.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16—18.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THIRD 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Another department of the spiritual life,</w:t>
        <w:br w:type="textWrapping"/>
        <w:t xml:space="preserve">in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reality in the sight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not appearance in the sight of man, must</w:t>
        <w:br w:type="textWrapping"/>
        <w:t xml:space="preserve">be our object. While these verses determine nothing as to the manner and extent</w:t>
        <w:br w:type="textWrapping"/>
        <w:t xml:space="preserve">of Christian fasting, they clearly recognize</w:t>
        <w:br w:type="textWrapping"/>
        <w:t xml:space="preserve">it as a solemn duty, ranking it with almsgiving and prayer; but requiring it, like</w:t>
        <w:br w:type="textWrapping"/>
        <w:t xml:space="preserve">them, (see ch. ix.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17,) to spring out of</w:t>
        <w:br w:type="textWrapping"/>
        <w:t xml:space="preserve">reality, not mere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formal prescription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 disfigure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literally means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 to disappear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Hence some have explained it,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hide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cover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in mourning</w:t>
        <w:br w:type="textWrapping"/>
        <w:t xml:space="preserve">costume. But in later Greek the meaning</w:t>
        <w:br w:type="textWrapping"/>
        <w:t xml:space="preserve">was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disfigure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One writer uses it of</w:t>
        <w:br w:type="textWrapping"/>
        <w:t xml:space="preserve">women who paint their faces. The allusion is therefore not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face,</w:t>
        <w:br w:type="textWrapping"/>
        <w:t xml:space="preserve">which could only be regarded as a sign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mourning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to the squalor of the uncleansed face, and hair of the head and</w:t>
        <w:br w:type="textWrapping"/>
        <w:t xml:space="preserve">beard, as the contrast of washing and</w:t>
        <w:br w:type="textWrapping"/>
        <w:t xml:space="preserve">anointing shews.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appear</w:t>
        <w:br w:type="textWrapping"/>
        <w:t xml:space="preserve">as usual: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‘seem to men the same as if</w:t>
        <w:br w:type="textWrapping"/>
        <w:t xml:space="preserve">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wert not fasting.’ It has been observed that this precept applies only to</w:t>
        <w:br w:type="textWrapping"/>
        <w:t xml:space="preserve">voluntary and private fasts, (such as are</w:t>
        <w:br w:type="textWrapping"/>
        <w:t xml:space="preserve">mentioned Luke xviii. 12,) not to public</w:t>
        <w:br w:type="textWrapping"/>
        <w:t xml:space="preserve">and enjoined ones. But this distinction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4Wc3shjTH5A7he1E45PoQT/GBg==">CgMxLjA4AHIhMVdRTk1RZ1BObnFBU1U5dXFfVUxlZGgtWjdxVVgyZnFN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