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fruit.” On the other hand, these verses</w:t>
        <w:br w:type="textWrapping"/>
        <w:t xml:space="preserve">were his weapon against the shallow Pelagian scheme, which would look at men’s</w:t>
        <w:br w:type="textWrapping"/>
        <w:t xml:space="preserve">deeds apart from the living root in man</w:t>
        <w:br w:type="textWrapping"/>
        <w:t xml:space="preserve">out of which they grew, and suppose that</w:t>
        <w:br w:type="textWrapping"/>
        <w:t xml:space="preserve">man’s unaided will is capable of good.</w:t>
        <w:br w:type="textWrapping"/>
        <w:t xml:space="preserve">Trench, Serm. on the Mount, p. 150.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ye shall know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 has</w:t>
        <w:br w:type="textWrapping"/>
        <w:t xml:space="preserve">more force;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shall thoroughly know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see 1 Cor. xiii. 12.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doom of the hypocritical false prophets</w:t>
        <w:br w:type="textWrapping"/>
        <w:t xml:space="preserve">introduces the doom of all hypocrites, and</w:t>
        <w:br w:type="textWrapping"/>
        <w:t xml:space="preserve">brings on the solemn close of the whole, in</w:t>
        <w:br w:type="textWrapping"/>
        <w:t xml:space="preserve">which the hypocrite and the true disciple</w:t>
        <w:br w:type="textWrapping"/>
        <w:t xml:space="preserve">are parabolical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compared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 Observe that</w:t>
        <w:br w:type="textWrapping"/>
        <w:t xml:space="preserve">here the Lord sets Himself forth as the</w:t>
        <w:br w:type="textWrapping"/>
        <w:t xml:space="preserve">Judge in the great day, and at the same</w:t>
        <w:br w:type="textWrapping"/>
        <w:t xml:space="preserve">time speaks not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will,” but “the</w:t>
        <w:br w:type="textWrapping"/>
        <w:t xml:space="preserve">will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:’’ an important and</w:t>
        <w:br w:type="textWrapping"/>
        <w:t xml:space="preserve">invaluable doctrinal landmark in this ve</w:t>
        <w:br w:type="textWrapping"/>
        <w:t xml:space="preserve">ning of His ministry in the first Gospel.</w:t>
        <w:br w:type="textWrapping"/>
        <w:t xml:space="preserve">e context must rule the meaning of such</w:t>
        <w:br w:type="textWrapping"/>
        <w:t xml:space="preserve">wide words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 it is evidently</w:t>
        <w:br w:type="textWrapping"/>
        <w:t xml:space="preserve">used of mere lip homage ; but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man</w:t>
        <w:br w:type="textWrapping"/>
        <w:t xml:space="preserve">can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Jesus is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1 Cor.</w:t>
        <w:br w:type="textWrapping"/>
        <w:t xml:space="preserve">xii. 3,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 the deeper mean-</w:t>
        <w:br w:type="textWrapping"/>
        <w:t xml:space="preserve">ing of a genuine heartfelt confession. To</w:t>
        <w:br w:type="textWrapping"/>
        <w:t xml:space="preserve">seek for discrepancies in passages of this</w:t>
        <w:br w:type="textWrapping"/>
        <w:t xml:space="preserve">kind implies a predisposition to find them:</w:t>
        <w:br w:type="textWrapping"/>
        <w:t xml:space="preserve">and is to treat Holy Scripture with less</w:t>
        <w:br w:type="textWrapping"/>
        <w:t xml:space="preserve">than that measure of candour which we</w:t>
        <w:br w:type="textWrapping"/>
        <w:t xml:space="preserve">ive to the writings of one another.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in 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perhaps refers to ver. 19:</w:t>
        <w:br w:type="textWrapping"/>
        <w:t xml:space="preserve">or it may be the expression 20 common in</w:t>
        <w:br w:type="textWrapping"/>
        <w:t xml:space="preserve">the prophets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day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. Isa. ii. 20; xxv. 9 al. fr. Sothe Jews</w:t>
        <w:br w:type="textWrapping"/>
        <w:t xml:space="preserve">called the tt day of judgment “that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perhaps better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thy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name having filled out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belief, and been the object of our confession of faith.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prophesied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i.e., a so</w:t>
        <w:br w:type="textWrapping"/>
        <w:t xml:space="preserve">often in N. T.,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preached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necessarily</w:t>
        <w:br w:type="textWrapping"/>
        <w:t xml:space="preserve">foretold future events. See 1 Cor. xii. 10,</w:t>
        <w:br w:type="textWrapping"/>
        <w:t xml:space="preserve">and note.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cast out devils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note on</w:t>
        <w:br w:type="textWrapping"/>
        <w:t xml:space="preserve">ch. viii. 32.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See Luke xiii.</w:t>
        <w:br w:type="textWrapping"/>
        <w:t xml:space="preserve">25—27.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 I profess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(more properly,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confess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is here remarkuble, as a</w:t>
        <w:br w:type="textWrapping"/>
        <w:t xml:space="preserve">statement of the simple truth of facts, as</w:t>
        <w:br w:type="textWrapping"/>
        <w:t xml:space="preserve">opposed to the false colouring and self-</w:t>
        <w:br w:type="textWrapping"/>
        <w:t xml:space="preserve">dereit of the hypocrites—‘ I will tell them</w:t>
        <w:br w:type="textWrapping"/>
        <w:t xml:space="preserve">the plain truth.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never knew you,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i.e. in the sense in which it is said, John</w:t>
        <w:br w:type="textWrapping"/>
        <w:t xml:space="preserve">x. 14,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know my sheep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things</w:t>
        <w:br w:type="textWrapping"/>
        <w:t xml:space="preserve">that are mine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am known by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  <w:br w:type="textWrapping"/>
        <w:t xml:space="preserve">Neither the preaching Christ, nor doing</w:t>
        <w:br w:type="textWrapping"/>
        <w:t xml:space="preserve">miracles in His Name, is an infallible sign</w:t>
        <w:br w:type="textWrapping"/>
        <w:t xml:space="preserve">of being His genuine servants, but only</w:t>
        <w:br w:type="textWrapping"/>
        <w:t xml:space="preserve">the devotion of life to God’s will which this</w:t>
        <w:br w:type="textWrapping"/>
        <w:t xml:space="preserve">knowledge brings about.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 these</w:t>
        <w:br w:type="textWrapping"/>
        <w:t xml:space="preserve">sayings of mine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more probably,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</w:t>
        <w:br w:type="textWrapping"/>
        <w:t xml:space="preserve">sayings from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Acts i. 4,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have</w:t>
        <w:br w:type="textWrapping"/>
        <w:t xml:space="preserve">heard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(from)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expression,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</w:t>
        <w:br w:type="textWrapping"/>
        <w:t xml:space="preserve">sayings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seems to bind together the Sermon, and preclude,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indeed does the</w:t>
        <w:br w:type="textWrapping"/>
        <w:t xml:space="preserve">whole structure of the Sermon, the sup-</w:t>
        <w:br w:type="textWrapping"/>
        <w:t xml:space="preserve">position that these last chapters are</w:t>
        <w:br w:type="textWrapping"/>
        <w:t xml:space="preserve">merely a collection of sayings uttered</w:t>
        <w:br w:type="textWrapping"/>
        <w:t xml:space="preserve">at different times.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liken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Meyer and Tholuck take this Eword to</w:t>
        <w:br w:type="textWrapping"/>
        <w:t xml:space="preserve">signify,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will compare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but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  <w:br w:type="textWrapping"/>
        <w:t xml:space="preserve">will make at that day 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But it</w:t>
        <w:br w:type="textWrapping"/>
        <w:t xml:space="preserve">is, perhaps, more in analogy with the</w:t>
        <w:br w:type="textWrapping"/>
        <w:t xml:space="preserve">usage of the Lord’s discourses to under-</w:t>
        <w:br w:type="textWrapping"/>
        <w:t xml:space="preserve">stand it,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compare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so ch. xi.</w:t>
        <w:br w:type="textWrapping"/>
        <w:t xml:space="preserve">16: Luke xiii. 18.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This similitude must not be pressed to an allegorical or symbolical meaning in its details, e.g. so that the rain, floods,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NGXDwNxf+fkkK5eDOS0+RP7D5w==">AMUW2mVye8pBdn5gk97azGajqrnSPtA1cZ5Z4kR7NxsOSEixQQiOwhoVF6Hvq4LYBjl75HT/+dht4SSdjxaoaUAEp5q9KP6uWytG2xtFPqR1TdUjl3kFNrg=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