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make his healing a matter of boast</w:t>
        <w:br w:type="textWrapping"/>
        <w:t xml:space="preserve">hereafter ; or (2) they were a cautionary</w:t>
        <w:br w:type="textWrapping"/>
        <w:t xml:space="preserve">admonition, only binding till he should</w:t>
        <w:br w:type="textWrapping"/>
        <w:t xml:space="preserve">have shewn himself to the priest, in order</w:t>
        <w:br w:type="textWrapping"/>
        <w:t xml:space="preserve">to avoid delay in this duty, or</w:t>
        <w:br w:type="textWrapping"/>
        <w:t xml:space="preserve">any hindrance which might, if the matter</w:t>
        <w:br w:type="textWrapping"/>
        <w:t xml:space="preserve">should first be blazed abroad, arise to his</w:t>
        <w:br w:type="textWrapping"/>
        <w:t xml:space="preserve">being pronounced clean, through the malice of the priests; or (3), which I believe</w:t>
        <w:br w:type="textWrapping"/>
        <w:t xml:space="preserve">to be the true view, our Lord almost uniformly repressed the fame of His miracles,</w:t>
        <w:br w:type="textWrapping"/>
        <w:t xml:space="preserve">for the reason given in ch. xii. 15—21,</w:t>
        <w:br w:type="textWrapping"/>
        <w:t xml:space="preserve">that, in accordance with prophetic truth,</w:t>
        <w:br w:type="textWrapping"/>
        <w:t xml:space="preserve">He might be known as the Messiah not by</w:t>
        <w:br w:type="textWrapping"/>
        <w:t xml:space="preserve">“wonder-working power, but by the great</w:t>
        <w:br w:type="textWrapping"/>
        <w:t xml:space="preserve">result of His work upon earth: see ‘ch.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xii. 16—19. Thus Apostles always</w:t>
        <w:br w:type="textWrapping"/>
        <w:t xml:space="preserve">refer primarily to the Resurrection, and</w:t>
        <w:br w:type="textWrapping"/>
        <w:t xml:space="preserve">only incidentally, if at all, to the wonders and signs. ‘Acts ii, 22—24; iii. 18—16.)</w:t>
        <w:br w:type="textWrapping"/>
        <w:t xml:space="preserve">These latter were tokens of power common</w:t>
        <w:br w:type="textWrapping"/>
        <w:t xml:space="preserve">to our Lord and his followers; but in His</w:t>
        <w:br w:type="textWrapping"/>
        <w:t xml:space="preserve">great conflict, ending in in His victory, He trod the winepress alone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shew thyself to the priest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Read Levit, xiv. 182.</w:t>
        <w:br w:type="textWrapping"/>
        <w:t xml:space="preserve">This command has been used in support of the theory of satisfaction by priestly</w:t>
        <w:br w:type="textWrapping"/>
        <w:t xml:space="preserve">confession and penance. But even then</w:t>
        <w:br w:type="textWrapping"/>
        <w:t xml:space="preserve">(Trench on the Miracles, p. 221, where</w:t>
        <w:br w:type="textWrapping"/>
        <w:t xml:space="preserve">see instances cited) the advocates of it are</w:t>
        <w:br w:type="textWrapping"/>
        <w:t xml:space="preserve">constrained to acknowledge that Christ</w:t>
        <w:br w:type="textWrapping"/>
        <w:t xml:space="preserve">alone is the cleanser. It is satisfactory to</w:t>
        <w:br w:type="textWrapping"/>
        <w:t xml:space="preserve">observe this drawing of parallels between</w:t>
        <w:br w:type="textWrapping"/>
        <w:t xml:space="preserve">“the Levitical and (popularly so called)</w:t>
        <w:br w:type="textWrapping"/>
        <w:t xml:space="preserve">Christian priesthood, thus completely shewing the fallacy and untenableness of the</w:t>
        <w:br w:type="textWrapping"/>
        <w:t xml:space="preserve">whole system ; all those priests being types,</w:t>
        <w:br w:type="textWrapping"/>
        <w:t xml:space="preserve">not of future human priests, but of Him,</w:t>
        <w:br w:type="textWrapping"/>
        <w:t xml:space="preserve">who abideth a Priest for ever in an unchangeable priesthood and in Whom not</w:t>
        <w:br w:type="textWrapping"/>
        <w:t xml:space="preserve">a class of Christians,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Christians,</w:t>
        <w:br w:type="textWrapping"/>
        <w:t xml:space="preserve">are in the true sense priests unto God.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testimony unto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testimony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both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</w:t>
        <w:br w:type="textWrapping"/>
        <w:t xml:space="preserve">man disobeyed the injunction, so that our</w:t>
        <w:br w:type="textWrapping"/>
        <w:t xml:space="preserve">Lord could no more enter the city openly +</w:t>
        <w:br w:type="textWrapping"/>
        <w:t xml:space="preserve">see Mark i. 45.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5—1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HEALING OF THE CENTURION’S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SERVANT. Luke vii. 1—10, where we have</w:t>
        <w:br w:type="textWrapping"/>
        <w:t xml:space="preserve">a more detailed account of the former part</w:t>
        <w:br w:type="textWrapping"/>
        <w:t xml:space="preserve">of this miracle. On the chronological ar-</w:t>
        <w:br w:type="textWrapping"/>
        <w:t xml:space="preserve">rangement, see Introduction.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centurion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 not himself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our Lord,</w:t>
        <w:br w:type="textWrapping"/>
        <w:t xml:space="preserve">but sent elders of the Jews to Him, who</w:t>
        <w:br w:type="textWrapping"/>
        <w:t xml:space="preserve">recommended him to His notice as loving</w:t>
        <w:br w:type="textWrapping"/>
        <w:t xml:space="preserve">their nation, and having built them a</w:t>
        <w:br w:type="textWrapping"/>
        <w:t xml:space="preserve">synagogue. Such variations, the concise</w:t>
        <w:br w:type="textWrapping"/>
        <w:t xml:space="preserve">account making a man do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</w:t>
        <w:br w:type="textWrapping"/>
        <w:t xml:space="preserve">the fuller one relates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by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are common in all written and oral narrations. In such cases the fuller account is,</w:t>
        <w:br w:type="textWrapping"/>
        <w:t xml:space="preserve">of course, the stricter one. Augustine,</w:t>
        <w:br w:type="textWrapping"/>
        <w:t xml:space="preserve">answering Faustas the Manichean, who</w:t>
        <w:br w:type="textWrapping"/>
        <w:t xml:space="preserve">wished, on account of the words of our</w:t>
        <w:br w:type="textWrapping"/>
        <w:t xml:space="preserve">Lord in ver. 11, to set aside the whole,</w:t>
        <w:br w:type="textWrapping"/>
        <w:t xml:space="preserve">and used this variation for that</w:t>
        <w:br w:type="textWrapping"/>
        <w:t xml:space="preserve">makes the remark,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important in these</w:t>
        <w:br w:type="textWrapping"/>
        <w:t xml:space="preserve">days, “Does not our human custom fur-</w:t>
        <w:br w:type="textWrapping"/>
        <w:t xml:space="preserve">nish abundance of such instances? Shall</w:t>
        <w:br w:type="textWrapping"/>
        <w:t xml:space="preserve">we read, and forget how we speak? Could</w:t>
        <w:br w:type="textWrapping"/>
        <w:t xml:space="preserve">we that Scripture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speak with</w:t>
        <w:br w:type="textWrapping"/>
        <w:t xml:space="preserve">us otherwise than in our own manner?”</w:t>
        <w:br w:type="textWrapping"/>
        <w:t xml:space="preserve">On the non-identity of this miracle with</w:t>
        <w:br w:type="textWrapping"/>
        <w:t xml:space="preserve">that in John iv. 46 ff, see note there.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centurion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</w:t>
        <w:br w:type="textWrapping"/>
        <w:t xml:space="preserve">ver. 10, but one who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deeply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attached</w:t>
        <w:br w:type="textWrapping"/>
        <w:t xml:space="preserve">to the Jews and their religions possibly,</w:t>
        <w:br w:type="textWrapping"/>
        <w:t xml:space="preserve">though this is uncertain, a of</w:t>
        <w:br w:type="textWrapping"/>
        <w:t xml:space="preserve">the gate he such term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devout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fearing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used of him, as commonly of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proselytes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Acts, x. 2 al.).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From Luke we learn that</w:t>
        <w:br w:type="textWrapping"/>
        <w:t xml:space="preserve">it was “a slave, who was precious to</w:t>
        <w:br w:type="textWrapping"/>
        <w:t xml:space="preserve">him.” The centurion, perhaps,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  <w:br w:type="textWrapping"/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slave, see ver. 9.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centurion heard that the Lord was coming,</w:t>
        <w:br w:type="textWrapping"/>
        <w:t xml:space="preserve">Luke vii. 6, and sent friends to Him with</w:t>
        <w:br w:type="textWrapping"/>
        <w:t xml:space="preserve">this second and still humbler message.</w:t>
        <w:br w:type="textWrapping"/>
        <w:t xml:space="preserve">He knew and felt himself, as a heathen,</w:t>
        <w:br w:type="textWrapping"/>
        <w:t xml:space="preserve">to be ont of the fold of God, a stranger</w:t>
        <w:br w:type="textWrapping"/>
        <w:t xml:space="preserve">to the commonwealth of Israel; and there-</w:t>
        <w:br w:type="textWrapping"/>
        <w:t xml:space="preserve">fore unworthy to receive under his roof</w:t>
        <w:br w:type="textWrapping"/>
        <w:t xml:space="preserve">the Redeemer of Israel.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</w:t>
        <w:br w:type="textWrapping"/>
        <w:t xml:space="preserve">meaning is, ‘I know how to obey, being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Zct4rNMt0dVEbYboUq2KIV+daQ==">AMUW2mWBP8JsaUQybLapSzo8HjjHsRC/tjdNUy0l4/b9shZZLxaQuk7NC+q9OSuZsKxRlgjCTC9SaEsqHR40S2devgOf2Jvkf2dJPOmVUr9s78q+o7fYV6c=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