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 respective opinions of themselves;</w:t>
        <w:br w:type="textWrapping"/>
        <w:t xml:space="preserve">as also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13: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Pharisees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however much objective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have had as applied</w:t>
        <w:br w:type="textWrapping"/>
        <w:t xml:space="preserve">to the publicans and sinners.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of this discourse, with</w:t>
        <w:br w:type="textWrapping"/>
        <w:t xml:space="preserve">the exception of the citation, is almost</w:t>
        <w:br w:type="textWrapping"/>
        <w:t xml:space="preserve">verbatim in Mark, and (with the</w:t>
        <w:br w:type="textWrapping"/>
        <w:t xml:space="preserve">addition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repentance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 also.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the detailed nar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rative of St.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(ii. 18) it was the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of the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</w:t>
        <w:br w:type="textWrapping"/>
        <w:t xml:space="preserve">ed this question. St. Luke continues</w:t>
        <w:br w:type="textWrapping"/>
        <w:t xml:space="preserve">the discourse as that of the former Pharisees and Scribes. This is one of those</w:t>
        <w:br w:type="textWrapping"/>
        <w:t xml:space="preserve">instances where the three accounts imply</w:t>
        <w:br w:type="textWrapping"/>
        <w:t xml:space="preserve">and confirm one another, and the hints</w:t>
        <w:br w:type="textWrapping"/>
        <w:t xml:space="preserve">incidentally dropped by one Evangelist</w:t>
        <w:br w:type="textWrapping"/>
        <w:t xml:space="preserve">form the prominent assertions of the other.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fasting often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disciples of</w:t>
        <w:br w:type="textWrapping"/>
        <w:t xml:space="preserve">John must not be understood as done in</w:t>
        <w:br w:type="textWrapping"/>
        <w:t xml:space="preserve">mourning for their master’s imprisonment,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as belonging to the asceticism which</w:t>
        <w:br w:type="textWrapping"/>
        <w:t xml:space="preserve">John, as a preacher of repentance, inculcated. On the fasts of the Pharisees,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Lightfoot in 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mourn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=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 and Luke. The difference</w:t>
        <w:br w:type="textWrapping"/>
        <w:t xml:space="preserve">of these two words is curiously enough one</w:t>
        <w:br w:type="textWrapping"/>
        <w:t xml:space="preserve">of Greswell’s arguments for the non-identity of the narratives. Even if there</w:t>
        <w:br w:type="textWrapping"/>
        <w:t xml:space="preserve">were any force in such an argument, we</w:t>
        <w:br w:type="textWrapping"/>
        <w:t xml:space="preserve">might fairly set against it that the Greek</w:t>
        <w:br w:type="textWrapping"/>
        <w:t xml:space="preserve">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 to all</w:t>
        <w:br w:type="textWrapping"/>
        <w:t xml:space="preserve">three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occurs no where</w:t>
        <w:br w:type="textWrapping"/>
        <w:t xml:space="preserve">else in the N.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bridegroom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appellation of Himself had from our</w:t>
        <w:br w:type="textWrapping"/>
        <w:t xml:space="preserve">Lord peculiar appropriateness as addressed</w:t>
        <w:br w:type="textWrapping"/>
        <w:t xml:space="preserve">to the disciples of John. Their master</w:t>
        <w:br w:type="textWrapping"/>
        <w:t xml:space="preserve">had himself used the figure, and the very</w:t>
        <w:br w:type="textWrapping"/>
        <w:t xml:space="preserve">word in John iii. 29. Our Lord, in calling</w:t>
        <w:br w:type="textWrapping"/>
        <w:t xml:space="preserve">Himself the Bridegroom, announces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Him of a whole cycle of</w:t>
        <w:br w:type="textWrapping"/>
        <w:t xml:space="preserve">O.T. prophecies and figures: very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reference to Hosea</w:t>
        <w:br w:type="textWrapping"/>
        <w:t xml:space="preserve">ii., that prophet having been cited just</w:t>
        <w:br w:type="textWrapping"/>
        <w:t xml:space="preserve">before : but also to many other passages,</w:t>
        <w:br w:type="textWrapping"/>
        <w:t xml:space="preserve">in which the Bride is the Church of God,</w:t>
        <w:br w:type="textWrapping"/>
        <w:t xml:space="preserve">the Bridegroom the God of Israel. See</w:t>
        <w:br w:type="textWrapping"/>
        <w:t xml:space="preserve">especially Isa. liv.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 Heb. and E.V.</w:t>
        <w:br w:type="textWrapping"/>
        <w:t xml:space="preserve">As Stier (i. 320, edn. 2) observes, the</w:t>
        <w:br w:type="textWrapping"/>
        <w:t xml:space="preserve">article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must not be considered as</w:t>
        <w:br w:type="textWrapping"/>
        <w:t xml:space="preserve">merely introduced on account of the parable, as usual elsewhere, but the parable</w:t>
        <w:br w:type="textWrapping"/>
        <w:t xml:space="preserve">itself to have sprung out of the emphatic</w:t>
        <w:br w:type="textWrapping"/>
        <w:t xml:space="preserve">name,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bridegroom.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 of</w:t>
        <w:br w:type="textWrapping"/>
        <w:t xml:space="preserve">the bridechamber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more than the mere</w:t>
        <w:br w:type="textWrapping"/>
        <w:t xml:space="preserve">guests at the wedding: they are the</w:t>
        <w:br w:type="textWrapping"/>
        <w:t xml:space="preserve">bridegroom’s friends who go and fetch the</w:t>
        <w:br w:type="textWrapping"/>
        <w:t xml:space="preserve">bride.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days will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How</w:t>
        <w:br w:type="textWrapping"/>
        <w:t xml:space="preserve">sublime and peaceful is this early announcement by our Lord of the bitter</w:t>
        <w:br w:type="textWrapping"/>
        <w:t xml:space="preserve">passage before Him! Compare the words</w:t>
        <w:br w:type="textWrapping"/>
        <w:t xml:space="preserve">of our Christian poet: ‘measuring with</w:t>
        <w:br w:type="textWrapping"/>
        <w:t xml:space="preserve">calm presage the infinite descent.’ It has</w:t>
        <w:br w:type="textWrapping"/>
        <w:t xml:space="preserve">been asked, “What man ever looked so</w:t>
        <w:br w:type="textWrapping"/>
        <w:t xml:space="preserve">calmly,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lovingly, from such an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down to such a depth!”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properly,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have been taken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when His departure shall have</w:t>
        <w:br w:type="textWrapping"/>
        <w:t xml:space="preserve">taken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then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are not a declaration of a duty, or of an ordinance, as</w:t>
        <w:br w:type="textWrapping"/>
        <w:t xml:space="preserve">binding on the Church in the days of her</w:t>
        <w:br w:type="textWrapping"/>
        <w:t xml:space="preserve">Lord’s absence: the whole spirit of what</w:t>
        <w:br w:type="textWrapping"/>
        <w:t xml:space="preserve">follows is against such a supposition: but</w:t>
        <w:br w:type="textWrapping"/>
        <w:t xml:space="preserve">they declare, in accordance with the parallel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mourn,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that in those days</w:t>
        <w:br w:type="textWrapping"/>
        <w:t xml:space="preserve">they shall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fasting;</w:t>
        <w:br w:type="textWrapping"/>
        <w:t xml:space="preserve">sorrow enough; see John xvi. 20: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fast</w:t>
        <w:br w:type="textWrapping"/>
        <w:t xml:space="preserve">of God’s own appointing in the solemn</w:t>
        <w:br w:type="textWrapping"/>
        <w:t xml:space="preserve">purpose of His will respecting them, not</w:t>
        <w:br w:type="textWrapping"/>
        <w:t xml:space="preserve">one of their own arbitrary laying on.</w:t>
        <w:br w:type="textWrapping"/>
        <w:t xml:space="preserve">This view is strikingly brought out in</w:t>
        <w:br w:type="textWrapping"/>
        <w:t xml:space="preserve">Luke, where the question is, “Can ye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sons, &amp;c.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i.e. by your</w:t>
        <w:br w:type="textWrapping"/>
        <w:t xml:space="preserve">rites and ordinances? “but, &amp;c.”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shall they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there is no constraint</w:t>
        <w:br w:type="textWrapping"/>
        <w:t xml:space="preserve">in this latter case: they shall (will) fast.</w:t>
        <w:br w:type="textWrapping"/>
        <w:t xml:space="preserve">And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furnishes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with an analogous</w:t>
        <w:br w:type="textWrapping"/>
        <w:t xml:space="preserve">rule for the fasting of the Christian life:</w:t>
        <w:br w:type="textWrapping"/>
        <w:t xml:space="preserve">that it should be the genuine offspring of</w:t>
        <w:br w:type="textWrapping"/>
        <w:t xml:space="preserve">inward and spiritual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sense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ThMCtdEYuPh48KmUV2ZGGFG7hA==">AMUW2mX7mTe8QBF+t3GCxtnSbTrczbQAy5d01LAmj61rmWThFdlexx5U728IxvrlVLS402idNoKRT+2j5Y8NniTGWgKuv53lTLpUteJioK/dorDxoU9re1k=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