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expressing the Hebrew name. If this</w:t>
        <w:br w:type="textWrapping"/>
        <w:t xml:space="preserve">be so, then this James the Less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may possibly be “the brother of the Lord”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mentioned Gal. i. 19 apparently as an apostle,</w:t>
        <w:br w:type="textWrapping"/>
        <w:t xml:space="preserve">and one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brethren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mentioned</w:t>
        <w:br w:type="textWrapping"/>
        <w:t xml:space="preserve">Matt. xiii. 55 (where see note) (?). But</w:t>
        <w:br w:type="textWrapping"/>
        <w:t xml:space="preserve">on the difficulties attending this view, see</w:t>
        <w:br w:type="textWrapping"/>
        <w:t xml:space="preserve">note on John vii.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Lebb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Much</w:t>
        <w:br w:type="textWrapping"/>
        <w:t xml:space="preserve">difficulty rests on this name, both from the</w:t>
        <w:br w:type="textWrapping"/>
        <w:t xml:space="preserve">various readings, and the questions arising</w:t>
        <w:br w:type="textWrapping"/>
        <w:t xml:space="preserve">from the other lists. The received reading</w:t>
        <w:br w:type="textWrapping"/>
        <w:t xml:space="preserve">appears to be a conjunction of the two</w:t>
        <w:br w:type="textWrapping"/>
        <w:t xml:space="preserve">ancient ones, Lebb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 and Thadd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us: the</w:t>
        <w:br w:type="textWrapping"/>
        <w:t xml:space="preserve">latter of these having been introduced</w:t>
        <w:br w:type="textWrapping"/>
        <w:t xml:space="preserve">from Mark: where, however, one of the</w:t>
        <w:br w:type="textWrapping"/>
        <w:t xml:space="preserve">ancient MSS. has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Lebb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Whichever of</w:t>
        <w:br w:type="textWrapping"/>
        <w:t xml:space="preserve">these is the true reading, the Apostle himself has generally been supposed to be</w:t>
        <w:br w:type="textWrapping"/>
        <w:t xml:space="preserve">identical with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Judas of James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both</w:t>
        <w:br w:type="textWrapping"/>
        <w:t xml:space="preserve">Luke’s catalogues, i.e. (see note there)</w:t>
        <w:br w:type="textWrapping"/>
        <w:t xml:space="preserve">Judas the brother (Dr. Donaldson supposed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 note on Luke xxiv. 13) of</w:t>
        <w:br w:type="textWrapping"/>
        <w:t xml:space="preserve">James,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son of Alpheus, and commonly supposed to be (?) one of the brethren of the Lord named Matt. xiii.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5.</w:t>
        <w:br w:type="textWrapping"/>
        <w:t xml:space="preserve">In John xiv. 22 we have a ‘Judas, not</w:t>
        <w:br w:type="textWrapping"/>
        <w:t xml:space="preserve">Iscariot,’ among the Apostles: and the</w:t>
        <w:br w:type="textWrapping"/>
        <w:t xml:space="preserve">catholic epistle is written by a ‘Judas</w:t>
        <w:br w:type="textWrapping"/>
        <w:t xml:space="preserve">brother of James.’ What in this case the</w:t>
        <w:br w:type="textWrapping"/>
        <w:t xml:space="preserve">names Lebb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 and Thadd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 are, is impossible to say. So that the whole rests</w:t>
        <w:br w:type="textWrapping"/>
        <w:t xml:space="preserve">on conjecture; which however does not</w:t>
        <w:br w:type="textWrapping"/>
        <w:t xml:space="preserve">contradict any known fact, and may be</w:t>
        <w:br w:type="textWrapping"/>
        <w:t xml:space="preserve">allowed as the only escape from the difficulty.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im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 the Canan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This is not a local name, but is derive</w:t>
        <w:br w:type="textWrapping"/>
        <w:t xml:space="preserve">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Canan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equivalent to Zelotes</w:t>
        <w:br w:type="textWrapping"/>
        <w:t xml:space="preserve">(Luke, Gospel and Acts). We may therefore suppose that before his conversion</w:t>
        <w:br w:type="textWrapping"/>
        <w:t xml:space="preserve">he belonged to the sect of the Zealots, who</w:t>
        <w:br w:type="textWrapping"/>
        <w:t xml:space="preserve">after the example of Phinehas (Num. xxv.</w:t>
        <w:br w:type="textWrapping"/>
        <w:t xml:space="preserve">7, 8) took justice into their own hands, and</w:t>
        <w:br w:type="textWrapping"/>
        <w:t xml:space="preserve">punished offenders against the law. This</w:t>
        <w:br w:type="textWrapping"/>
        <w:t xml:space="preserve">sect eventually brought upon Jerusalem its</w:t>
        <w:br w:type="textWrapping"/>
        <w:t xml:space="preserve">destruction.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udas Iscariot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Son of</w:t>
        <w:br w:type="textWrapping"/>
        <w:t xml:space="preserve">Simon (John vi.71; [xii. 4 various reading;]</w:t>
        <w:br w:type="textWrapping"/>
        <w:t xml:space="preserve">xiii. 2, 26). Probably a native of Kerioth</w:t>
        <w:br w:type="textWrapping"/>
        <w:t xml:space="preserve">in Juda, Josh. xv. 25.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Kerioth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 man</w:t>
        <w:br w:type="textWrapping"/>
        <w:t xml:space="preserve">of Kerioth,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Istobus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 man of Tob,</w:t>
        <w:br w:type="textWrapping"/>
        <w:t xml:space="preserve">Joseph. Antt. vii. 6. 1. That the name</w:t>
        <w:br w:type="textWrapping"/>
        <w:t xml:space="preserve">Iscariot cannot be a surname, as Bp. Middleton supposes, the expression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Judas</w:t>
        <w:br w:type="textWrapping"/>
        <w:t xml:space="preserve">Iscariot the son of Simon,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used in all the</w:t>
        <w:br w:type="textWrapping"/>
        <w:t xml:space="preserve">above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places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John, clearly proves. Dr.</w:t>
        <w:br w:type="textWrapping"/>
        <w:t xml:space="preserve">Donaldson assumed it as certain that the</w:t>
        <w:br w:type="textWrapping"/>
        <w:t xml:space="preserve">Simon last mentioned was the father of</w:t>
        <w:br w:type="textWrapping"/>
        <w:t xml:space="preserve">Judas Iscariot. But surely this is very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ncertain, in the case of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common a</w:t>
        <w:br w:type="textWrapping"/>
        <w:t xml:space="preserve">name as Simon.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 saying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If we</w:t>
        <w:br w:type="textWrapping"/>
        <w:t xml:space="preserve">compare this verse with ch. xi. 1, there</w:t>
        <w:br w:type="textWrapping"/>
        <w:t xml:space="preserve">can be little doubt that this discourse of</w:t>
        <w:br w:type="textWrapping"/>
        <w:t xml:space="preserve">our Lord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delivered at one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that,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 sending of the Twelve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How often its solemn injunctions may have</w:t>
        <w:br w:type="textWrapping"/>
        <w:t xml:space="preserve">been repeated on similar occasions we cannot say: many of them reappear at the</w:t>
        <w:br w:type="textWrapping"/>
        <w:t xml:space="preserve">sending of the Seventy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Luke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x. 2 ff.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primary reference is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then</w:t>
        <w:br w:type="textWrapping"/>
        <w:t xml:space="preserve">mission of the Apostles to prepare His</w:t>
        <w:br w:type="textWrapping"/>
        <w:t xml:space="preserve">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but it includes,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germ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instructions prophetically deliv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ministers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missionaries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Gospel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the end of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may be divi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into THREE GREAT PORTIONS, in each of</w:t>
        <w:br w:type="textWrapping"/>
        <w:t xml:space="preserve">which different departments of the subject</w:t>
        <w:br w:type="textWrapping"/>
        <w:t xml:space="preserve">are treated, but which follow in natural</w:t>
        <w:br w:type="textWrapping"/>
        <w:t xml:space="preserve">sequence on one another. In the FIRST</w:t>
        <w:br w:type="textWrapping"/>
        <w:t xml:space="preserve">of these (vv. 5—15), our Lord, taking up</w:t>
        <w:br w:type="textWrapping"/>
        <w:t xml:space="preserve">the position of the messengers whom He</w:t>
        <w:br w:type="textWrapping"/>
        <w:t xml:space="preserve">sends from the declaration with which the</w:t>
        <w:br w:type="textWrapping"/>
        <w:t xml:space="preserve">Baptist and He Himself began their ministry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Kingdom of heaven is at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hand,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gives them commands,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mostly literal, and of present import, for their mission to the cities of Israel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portion</w:t>
        <w:br w:type="textWrapping"/>
        <w:t xml:space="preserve">concludes with a denunciation of 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udgment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against that unbelief which should reject</w:t>
        <w:br w:type="textWrapping"/>
        <w:t xml:space="preserve">their preaching.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(vv. 16—23)</w:t>
        <w:br w:type="textWrapping"/>
        <w:t xml:space="preserve">refers to the general mission of the Apostles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developing itself, after the Lord</w:t>
        <w:br w:type="textWrapping"/>
        <w:t xml:space="preserve">should be taken from them, in preaching</w:t>
        <w:br w:type="textWrapping"/>
        <w:t xml:space="preserve">to Jews and Gentiles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(vv. 17, 18), and</w:t>
        <w:br w:type="textWrapping"/>
        <w:t xml:space="preserve">subjecting them to persecutions (vv. 21,</w:t>
        <w:br w:type="textWrapping"/>
        <w:t xml:space="preserve">22). This portion ends with the end of</w:t>
        <w:br w:type="textWrapping"/>
        <w:t xml:space="preserve">the apostolic period properly so called,</w:t>
        <w:br w:type="textWrapping"/>
        <w:t xml:space="preserve">ver.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referring primarily to the destruction of Jerusalem. In this portion there</w:t>
        <w:br w:type="textWrapping"/>
        <w:t xml:space="preserve">is a foreshadowing of what shall be the</w:t>
        <w:br w:type="textWrapping"/>
        <w:t xml:space="preserve">lot and duty of the teachers of the Gospel</w:t>
        <w:br w:type="textWrapping"/>
        <w:t xml:space="preserve">to the end, inasmuch as the ‘coming of</w:t>
        <w:br w:type="textWrapping"/>
        <w:t xml:space="preserve">the Son of Man’ is ever typical of His</w:t>
        <w:br w:type="textWrapping"/>
        <w:t xml:space="preserve">final coming to judgment. Still the direct</w:t>
        <w:br w:type="textWrapping"/>
        <w:t xml:space="preserve">reference is to the Apostles and their mission, and the other only by inference.</w:t>
        <w:br w:type="textWrapping"/>
        <w:t xml:space="preserve">The THIRD (vv. 24—42),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ongest and</w:t>
        <w:br w:type="textWrapping"/>
        <w:t xml:space="preserve">weightiest portion, is spoken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directly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(with</w:t>
        <w:br w:type="textWrapping"/>
        <w:t xml:space="preserve">occasional reference only to the Apostles</w:t>
        <w:br w:type="textWrapping"/>
        <w:t xml:space="preserve">and their mission [ver.40])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all disciples</w:t>
        <w:br w:type="textWrapping"/>
        <w:t xml:space="preserve">of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their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position,—their 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couragements,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their duties,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finally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7d6neukWdnWSUNcACS3zOxQnvQ==">AMUW2mVNbVJgk14sGrbFPqUPYu7CilsCH/YO9GEw68Cp+AeSwTvgHPwn0jThzoDSyhtwziZlmjYEMYnWPBw3nyJt08tEZp+FYpN+qHF6G9c7jlStz4vKK7w=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