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farthing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Gr.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assarion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word,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rived from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was used in Greek and</w:t>
        <w:br w:type="textWrapping"/>
        <w:t xml:space="preserve">Hebrew to signify the meanest, most insignificant amount.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fall on the ground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which birds do when struck violently, or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frozen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wet or starved: it is therefore equivalent to die: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one of</w:t>
        <w:br w:type="textWrapping"/>
        <w:t xml:space="preserve">them is forgotten before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Luke</w:t>
        <w:br w:type="textWrapping"/>
        <w:t xml:space="preserve">xii. 6.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1 Sam. xiv. 45: Luke</w:t>
        <w:br w:type="textWrapping"/>
        <w:t xml:space="preserve">xxi. 18: Acts xxvii. 34.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emphatic, corresponding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the</w:t>
        <w:br w:type="textWrapping"/>
        <w:t xml:space="preserve">end of ver. 31. But the emphatic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spoken directly to the Apostles, is generalized immediately by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whosoever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ver. 32.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confess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context</w:t>
        <w:br w:type="textWrapping"/>
        <w:t xml:space="preserve">shews plainly that it is a practical consistent confession which is meant, and also</w:t>
        <w:br w:type="textWrapping"/>
        <w:t xml:space="preserve">a practical and enduring denial. The Lord</w:t>
        <w:br w:type="textWrapping"/>
        <w:t xml:space="preserve">will not confess the confessing Judas, nor</w:t>
        <w:br w:type="textWrapping"/>
        <w:t xml:space="preserve">deny the denying Peter; the traitor who</w:t>
        <w:br w:type="textWrapping"/>
        <w:t xml:space="preserve">denied Him in act is denied: the Apostle</w:t>
        <w:br w:type="textWrapping"/>
        <w:t xml:space="preserve">who confessed Him even to death will be</w:t>
        <w:br w:type="textWrapping"/>
        <w:t xml:space="preserve">confessed. Cf. 2 Tim. ii. 12. We may</w:t>
        <w:br w:type="textWrapping"/>
        <w:t xml:space="preserve">observe that both in the Sermon on the</w:t>
        <w:br w:type="textWrapping"/>
        <w:t xml:space="preserve">Mount (ch. vii. 21–23) and here,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  <w:br w:type="textWrapping"/>
        <w:t xml:space="preserve">mention of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our Lord describes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 Judge and Arbiter of</w:t>
        <w:br w:type="textWrapping"/>
        <w:t xml:space="preserve">eternal life and death.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Luke</w:t>
        <w:br w:type="textWrapping"/>
        <w:t xml:space="preserve">xii. 51–53 this announcement, as here, is</w:t>
        <w:br w:type="textWrapping"/>
        <w:t xml:space="preserve">closely connected with the mention of our</w:t>
        <w:br w:type="textWrapping"/>
        <w:t xml:space="preserve">Lord’s own sufferings (ver. 38). As He</w:t>
        <w:br w:type="textWrapping"/>
        <w:t xml:space="preserve">won His way to victory thro the contradiction of sinners and strife, so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come after Him. The immediate reference is to the divisions in families owing to conversions to Christianity.</w:t>
        <w:br w:type="textWrapping"/>
        <w:t xml:space="preserve">Ver. 35 is quoted nearly literally from</w:t>
        <w:br w:type="textWrapping"/>
        <w:t xml:space="preserve">Micah vii. 6. When we read in Commentators that these divisions were not</w:t>
        <w:br w:type="textWrapping"/>
        <w:t xml:space="preserve">the purpose, but the inevitable results</w:t>
        <w:br w:type="textWrapping"/>
        <w:t xml:space="preserve">only, of the Lord’s coming, we must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remember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with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Deut.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xxiii. 9, and Exod.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xxxii.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29, to which</w:t>
        <w:br w:type="textWrapping"/>
        <w:t xml:space="preserve">passages this verse is a reference. Stier</w:t>
        <w:br w:type="textWrapping"/>
        <w:t xml:space="preserve">well remarks, that under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worthy</w:t>
        <w:br w:type="textWrapping"/>
        <w:t xml:space="preserve">of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lies an exceeding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reward</w:t>
        <w:br w:type="textWrapping"/>
        <w:t xml:space="preserve">which counterbalances all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seeming</w:t>
        <w:br w:type="textWrapping"/>
        <w:t xml:space="preserve">asperity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saying.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strange must this prophetic announcement have seemed to the Apostles!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 Jewish proverb (for crucifixion was</w:t>
        <w:br w:type="textWrapping"/>
        <w:t xml:space="preserve">not a Jewish punishment), no common</w:t>
        <w:br w:type="textWrapping"/>
        <w:t xml:space="preserve">saying, which our Lord here and so often</w:t>
        <w:br w:type="textWrapping"/>
        <w:t xml:space="preserve">utters. See ch, xvi. 24: Mark x. 21:</w:t>
        <w:br w:type="textWrapping"/>
        <w:t xml:space="preserve">Luke ix. 23. He does not here plainly</w:t>
        <w:br w:type="textWrapping"/>
        <w:t xml:space="preserve">mention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Cross; but leaves it to be</w:t>
        <w:br w:type="textWrapping"/>
        <w:t xml:space="preserve">understood, see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one of</w:t>
        <w:br w:type="textWrapping"/>
        <w:t xml:space="preserve">those sayings of which John xii. 16 was</w:t>
        <w:br w:type="textWrapping"/>
        <w:t xml:space="preserve">eminently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life. . .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somewhat</w:t>
        <w:br w:type="textWrapping"/>
        <w:t xml:space="preserve">different senses. The first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we here all count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dear to us;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implied in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real life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blessed eternity.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 xii.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s6dwx8WmMMiD43xQzpL4FDJ4Ww==">AMUW2mX6OLLHtK66qeCi8EhSvCPQMbpry+ZgUQFg6kgVTqLwfcSmHGPfkNpb9igx0Du/7hqlDgM1giVtQG0HmjZKEHjwaDeD4SQ5/BQV3/xmf0Er3xm1V80=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