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own Kingdom and Office.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what was it, if it was not</w:t>
        <w:br w:type="textWrapping"/>
        <w:t xml:space="preserve">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went ye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repetition of this question, and the order</w:t>
        <w:br w:type="textWrapping"/>
        <w:t xml:space="preserve">of the suggestive answers, are remarkable.</w:t>
        <w:br w:type="textWrapping"/>
        <w:t xml:space="preserve">The first sets before them the scene of</w:t>
        <w:br w:type="textWrapping"/>
        <w:t xml:space="preserve">their desert pilgrimage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banks of Jordan with its reeds, but no such trifles</w:t>
        <w:br w:type="textWrapping"/>
        <w:t xml:space="preserve">were the object of the journey: this sugg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is rejected without an answer.</w:t>
        <w:br w:type="textWrapping"/>
        <w:t xml:space="preserve">The second reminds them that it was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one in soft clothing, for</w:t>
        <w:br w:type="textWrapping"/>
        <w:t xml:space="preserve">such are not found in deserts. The third</w:t>
        <w:br w:type="textWrapping"/>
        <w:t xml:space="preserve">brings before them the real object of their</w:t>
        <w:br w:type="textWrapping"/>
        <w:t xml:space="preserve">pilgrimage in his holy office, and even</w:t>
        <w:br w:type="textWrapping"/>
        <w:t xml:space="preserve">amplifies that office itself. So that the</w:t>
        <w:br w:type="textWrapping"/>
        <w:t xml:space="preserve">great Forerunner is made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gradually</w:t>
        <w:br w:type="textWrapping"/>
        <w:t xml:space="preserve">and sublimely into his personality, and</w:t>
        <w:br w:type="textWrapping"/>
        <w:t xml:space="preserve">thus his preaching of repentance is revived</w:t>
        <w:br w:type="textWrapping"/>
        <w:t xml:space="preserve">in their minds.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soft raiment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Contrast this with the garb of John as</w:t>
        <w:br w:type="textWrapping"/>
        <w:t xml:space="preserve">described ch. iii. 4. Such an one, in soft</w:t>
        <w:br w:type="textWrapping"/>
        <w:t xml:space="preserve">raiment, might be the forerunner of a</w:t>
        <w:br w:type="textWrapping"/>
        <w:t xml:space="preserve">proud earthly prince, but not the preacher</w:t>
        <w:br w:type="textWrapping"/>
        <w:t xml:space="preserve">of repentance before a humble and suffering Saviour; might be found as the courtly</w:t>
        <w:br w:type="textWrapping"/>
        <w:t xml:space="preserve">flatterer in the palaces of kings, but not</w:t>
        <w:br w:type="textWrapping"/>
        <w:t xml:space="preserve">as the stern rebuker of tyrants, and</w:t>
        <w:br w:type="textWrapping"/>
        <w:t xml:space="preserve">languishing in their fortress dungeons.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read, ch. xxi. 26, that</w:t>
        <w:br w:type="textWrapping"/>
        <w:t xml:space="preserve">‘all accounted John as a prophet.’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John was more than a prophet, because</w:t>
        <w:br w:type="textWrapping"/>
        <w:t xml:space="preserve">he did not write of,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pointed</w:t>
        <w:br w:type="textWrapping"/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object of his prophecy;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because of his proximity to the kingdom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God. He was moreover more than a prophet, because he himself was the subject</w:t>
        <w:br w:type="textWrapping"/>
        <w:t xml:space="preserve">as well 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vehicle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prophecy. But</w:t>
        <w:br w:type="textWrapping"/>
        <w:t xml:space="preserve">with deep humility he applies to himself</w:t>
        <w:br w:type="textWrapping"/>
        <w:t xml:space="preserve">only that one, of two such prophetic passages, which describes him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voice of</w:t>
        <w:br w:type="textWrapping"/>
        <w:t xml:space="preserve">one crying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omits the one which gives</w:t>
        <w:br w:type="textWrapping"/>
        <w:t xml:space="preserve">him the title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messenger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 cited</w:t>
        <w:br w:type="textWrapping"/>
        <w:t xml:space="preserve">by our Lord.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thy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here</w:t>
        <w:br w:type="textWrapping"/>
        <w:t xml:space="preserve">changes the person of the original prophecy,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that He</w:t>
        <w:br w:type="textWrapping"/>
        <w:t xml:space="preserve">does so, making that which is said by Jehovah</w:t>
        <w:br w:type="textWrapping"/>
        <w:t xml:space="preserve">of Himself, to be addressed to the Messiah, is, if such were needed (compare also</w:t>
        <w:br w:type="textWrapping"/>
        <w:t xml:space="preserve">Luke i. 16, 17, and 76), no mean indication of His own eternal and co-equal God-head. It is worthy of remark that all</w:t>
        <w:br w:type="textWrapping"/>
        <w:t xml:space="preserve">three Evangelists quote this prophecy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similarly changed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although St. Mark has</w:t>
        <w:br w:type="textWrapping"/>
        <w:t xml:space="preserve">it in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entirely different place. Also,</w:t>
        <w:br w:type="textWrapping"/>
        <w:t xml:space="preserve">that the high dignity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our Lord here predicates of the Baptist,</w:t>
        <w:br w:type="textWrapping"/>
        <w:t xml:space="preserve">has a further reference: He was thus</w:t>
        <w:br w:type="textWrapping"/>
        <w:t xml:space="preserve">great above all others,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he was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forerunner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How great then</w:t>
        <w:br w:type="textWrapping"/>
        <w:t xml:space="preserve">above all others and him, must HE be.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hath . . . risen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merely a</w:t>
        <w:br w:type="textWrapping"/>
        <w:t xml:space="preserve">word of course, but especially used of prophets and judges, see reff., and once of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viour Himself, Acts v. 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is least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has been variously rendered and understood. Chrysostom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 ancient interpreters, put the pause</w:t>
        <w:br w:type="textWrapping"/>
        <w:t xml:space="preserve">after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take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Kingdom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with what follows:</w:t>
        <w:br w:type="textWrapping"/>
        <w:t xml:space="preserve">understanding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is least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our</w:t>
        <w:br w:type="textWrapping"/>
        <w:t xml:space="preserve">Lord. But such an 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surely adverse to the spirit of the whole</w:t>
        <w:br w:type="textWrapping"/>
        <w:t xml:space="preserve">discourse. We may certainly say that our</w:t>
        <w:br w:type="textWrapping"/>
        <w:t xml:space="preserve">Lord in such a passage as this would not</w:t>
        <w:br w:type="textWrapping"/>
        <w:t xml:space="preserve">designate Himself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is least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compared with John, in any sense: nor</w:t>
        <w:br w:type="textWrapping"/>
        <w:t xml:space="preserve">again is it our Lord’s practice to speak of</w:t>
        <w:br w:type="textWrapping"/>
        <w:t xml:space="preserve">Himself as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Kingdom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of His own attributes as belonging to</w:t>
        <w:br w:type="textWrapping"/>
        <w:t xml:space="preserve">or dependent on that new order of things</w:t>
        <w:br w:type="textWrapping"/>
        <w:t xml:space="preserve">which this expression implies, and which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rather than He in it. Again,</w:t>
        <w:br w:type="textWrapping"/>
        <w:t xml:space="preserve">the analogy of 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passages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v.</w:t>
        <w:br w:type="textWrapping"/>
        <w:t xml:space="preserve">19; xviii. 1, would lead us to connect the</w:t>
        <w:br w:type="textWrapping"/>
        <w:t xml:space="preserve">preceding adjective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Kingdom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the following.</w:t>
        <w:br w:type="textWrapping"/>
        <w:t xml:space="preserve">The other, the usual interpretation, I</w:t>
        <w:br w:type="textWrapping"/>
        <w:t xml:space="preserve">am convinced, is the right one: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</w:t>
        <w:br w:type="textWrapping"/>
        <w:t xml:space="preserve">that is least in the of heaven, is</w:t>
        <w:br w:type="textWrapping"/>
        <w:t xml:space="preserve">greater than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very likely</w:t>
        <w:br w:type="textWrapping"/>
        <w:t xml:space="preserve">an allusion to Zech. xii. 8: “He that is</w:t>
        <w:br w:type="textWrapping"/>
        <w:t xml:space="preserve">feeble among them at that day shall be as</w:t>
        <w:br w:type="textWrapping"/>
        <w:t xml:space="preserve">David.”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the parallelism is complete: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inferior to any born of</w:t>
        <w:br w:type="textWrapping"/>
        <w:t xml:space="preserve">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these, even the least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born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birth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 i. 12, 13;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nearest to the King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65yV/4A6Rdl1hyYTUKyvIkNeuQ==">CgMxLjA4AHIhMXM5RTViSEV1ZklkTFVtbUxSRnl5R2hYandJQmhIWXZu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