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grace,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 Christ gives is yet</w:t>
        <w:br w:type="textWrapping"/>
        <w:t xml:space="preserve">to be viewed as a yoke and a burden, seen</w:t>
        <w:br w:type="textWrapping"/>
        <w:t xml:space="preserve">on this its painful side, of conflict and</w:t>
        <w:br w:type="textWrapping"/>
        <w:t xml:space="preserve">sorrow: but it is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light yoke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the inner</w:t>
        <w:br w:type="textWrapping"/>
        <w:t xml:space="preserve">rest in the soul giving a peace which</w:t>
        <w:br w:type="textWrapping"/>
        <w:t xml:space="preserve">passeth understanding, and bearing it up</w:t>
        <w:br w:type="textWrapping"/>
        <w:t xml:space="preserve">against all. See 2 Cor. iv. 16.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XII. 1—8.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DISCIPLES PLUCK EARS</w:t>
        <w:br w:type="textWrapping"/>
        <w:t xml:space="preserve">OF CORN ON THE SABBATH. OUR LORD’S ANSWER TO THE PHARISEES THEREON.</w:t>
        <w:br w:type="textWrapping"/>
        <w:t xml:space="preserve">Mark ii. 23–28: Luke vi. 1—5. In Mark</w:t>
        <w:br w:type="textWrapping"/>
        <w:t xml:space="preserve">and Luke this incident occurs after the</w:t>
        <w:br w:type="textWrapping"/>
        <w:t xml:space="preserve">discourse on fasting related Matt. ix. 14</w:t>
        <w:br w:type="textWrapping"/>
        <w:t xml:space="preserve">sq.; but in the former without any definite</w:t>
        <w:br w:type="textWrapping"/>
        <w:t xml:space="preserve">mark of time. The expression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at that time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is, I conceive, a more definite mark of connexion than we find in the other Gospels,</w:t>
        <w:br w:type="textWrapping"/>
        <w:t xml:space="preserve">but cannot here be fixed to the meaning</w:t>
        <w:br w:type="textWrapping"/>
        <w:t xml:space="preserve">which it clearly has in ch. xi. 25, where</w:t>
        <w:br w:type="textWrapping"/>
        <w:t xml:space="preserve">the context determines it. We can merely</w:t>
        <w:br w:type="textWrapping"/>
        <w:t xml:space="preserve">say that it seems to have occurred about</w:t>
        <w:br w:type="textWrapping"/>
        <w:t xml:space="preserve">the same time as the last thing mentioned</w:t>
        <w:br w:type="textWrapping"/>
        <w:t xml:space="preserve">—in the same journey or season.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plucking the ears was allowed Deut. xxiii.</w:t>
        <w:br w:type="textWrapping"/>
        <w:t xml:space="preserve">25, but in the Talmud expressly forbidden</w:t>
        <w:br w:type="textWrapping"/>
        <w:t xml:space="preserve">on the Sabbath. It was also (Levit. xxiii.</w:t>
        <w:br w:type="textWrapping"/>
        <w:t xml:space="preserve">14, apparently, but this is by no means</w:t>
        <w:br w:type="textWrapping"/>
        <w:t xml:space="preserve">certain: see note on Luke) forbidden until</w:t>
        <w:br w:type="textWrapping"/>
        <w:t xml:space="preserve">the sheaf of first-fruits had been presented</w:t>
        <w:br w:type="textWrapping"/>
        <w:t xml:space="preserve">to God, which was done on the second day</w:t>
        <w:br w:type="textWrapping"/>
        <w:t xml:space="preserve">of the feast of unleavened bread at the</w:t>
        <w:br w:type="textWrapping"/>
        <w:t xml:space="preserve">Passover. This incident, on that supposition, must have occurred between that day</w:t>
        <w:br w:type="textWrapping"/>
        <w:t xml:space="preserve">and the harvest. It is generally supposed</w:t>
        <w:br w:type="textWrapping"/>
        <w:t xml:space="preserve">to have been on the first Sabbath after</w:t>
        <w:br w:type="textWrapping"/>
        <w:t xml:space="preserve">the Passover. For a fuller discussion of</w:t>
        <w:br w:type="textWrapping"/>
        <w:t xml:space="preserve">the time and place, see note on Luke as</w:t>
        <w:br w:type="textWrapping"/>
        <w:t xml:space="preserve">before.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 appears from 1 Sam.</w:t>
        <w:br w:type="textWrapping"/>
        <w:t xml:space="preserve">xxi. 6, that hot bread had been put in 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day of David’s arrival; which therefore, Levit. xxiv. 8,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sabbath.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example was thus doubly appropriate.</w:t>
        <w:br w:type="textWrapping"/>
        <w:t xml:space="preserve">Bengel maintains, on the commonly received interpretation of Luke vi. 1, that</w:t>
        <w:br w:type="textWrapping"/>
        <w:t xml:space="preserve">1 Sam. xxi. was the lesson for the day.</w:t>
        <w:br w:type="textWrapping"/>
        <w:t xml:space="preserve">But the Jewish calendar of lessons cannot</w:t>
        <w:br w:type="textWrapping"/>
        <w:t xml:space="preserve">be shewn to have existed in the form</w:t>
        <w:br w:type="textWrapping"/>
        <w:t xml:space="preserve">which we now have, in the time of the</w:t>
        <w:br w:type="textWrapping"/>
        <w:t xml:space="preserve">Gospel history.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priests were</w:t>
        <w:br w:type="textWrapping"/>
        <w:t xml:space="preserve">ordered to offer double offerings on the</w:t>
        <w:br w:type="textWrapping"/>
        <w:t xml:space="preserve">Sabbath (Num. xxviii. 9, 10), and to place</w:t>
        <w:br w:type="textWrapping"/>
        <w:t xml:space="preserve">fresh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therefore baked that day)</w:t>
        <w:br w:type="textWrapping"/>
        <w:t xml:space="preserve">shewbread. In performing these commands they must commit many of what</w:t>
        <w:br w:type="textWrapping"/>
        <w:t xml:space="preserve">the Pharisees would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 profanations of</w:t>
        <w:br w:type="textWrapping"/>
        <w:t xml:space="preserve">the Sabbath. So that, as Stier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(ii. 4),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 only does the sacred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history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furnish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examples of exception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 of the</w:t>
        <w:br w:type="textWrapping"/>
        <w:t xml:space="preserve">Sabbath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necessity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Law itself</w:t>
        <w:br w:type="textWrapping"/>
        <w:t xml:space="preserve">ordains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work to be done on the Sabbath</w:t>
        <w:br w:type="textWrapping"/>
        <w:t xml:space="preserve">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duty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Greek has merely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greater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best MSS, have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</w:t>
        <w:br w:type="textWrapping"/>
        <w:t xml:space="preserve">neuter gender, which sustains the parallel</w:t>
        <w:br w:type="textWrapping"/>
        <w:t xml:space="preserve">better: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greater thing than the temple</w:t>
        <w:br w:type="textWrapping"/>
        <w:t xml:space="preserve">is 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John ii. 19. The inference</w:t>
        <w:br w:type="textWrapping"/>
        <w:t xml:space="preserve">is, ‘If the priest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temple and for</w:t>
        <w:br w:type="textWrapping"/>
        <w:t xml:space="preserve">the temple’s sake, for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service and ritual,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rofane the Sabbath, as ye account 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anation, and are blameless, how much</w:t>
        <w:br w:type="textWrapping"/>
        <w:t xml:space="preserve">more these disciples who have grown</w:t>
        <w:br w:type="textWrapping"/>
        <w:t xml:space="preserve">hungry in their appointed following of</w:t>
        <w:br w:type="textWrapping"/>
        <w:t xml:space="preserve">Him who is greater than the temple,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true Temple of God on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Son</w:t>
        <w:br w:type="textWrapping"/>
        <w:t xml:space="preserve">of Man!’ I cannot agree with Stier that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neuter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represent only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something greater, more weighty than the</w:t>
        <w:br w:type="textWrapping"/>
        <w:t xml:space="preserve">temple,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namely, merciful consideration of</w:t>
        <w:br w:type="textWrapping"/>
        <w:t xml:space="preserve">the hungry, or the like:” it seems to me,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oTvoiJgR6rOKC64cTniDKwvFpQ==">CgMxLjA4AHIhMVhHdXhad1NXdVE2ZDhWOWVsbFVRVHNQd3VQRm1zN2p1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