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act: the healing is performed without</w:t>
        <w:br w:type="textWrapping"/>
        <w:t xml:space="preserve">even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 of command. The stretching forth the hand was to prove its soundness, which the divine power wrought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act of stretching it forth. Thus his</w:t>
        <w:br w:type="textWrapping"/>
        <w:t xml:space="preserve">enemies were disappointed, having no legal</w:t>
        <w:br w:type="textWrapping"/>
        <w:t xml:space="preserve">ground against Him.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is</w:t>
        <w:br w:type="textWrapping"/>
        <w:t xml:space="preserve">the first mention of counsel being taken</w:t>
        <w:br w:type="textWrapping"/>
        <w:t xml:space="preserve">by the Pharisees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Herodians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Mark,</w:t>
        <w:br w:type="textWrapping"/>
        <w:t xml:space="preserve">as above) to put our Lord to death.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15—21.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Peculiar in this form to Mat-</w:t>
        <w:br w:type="textWrapping"/>
        <w:t xml:space="preserve">thew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See Mark iii. 7–12: Luke vi. 17–19.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 all: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similar expressions, ch. xix. 2: Luke vi. 19;—i.e.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who wanted healing,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 charged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ch. viii. 4, and note.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it might be fulfilled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note on</w:t>
        <w:br w:type="textWrapping"/>
        <w:t xml:space="preserve">ch. i. 22. It must not be understood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</w:t>
        <w:br w:type="textWrapping"/>
        <w:t xml:space="preserve">thus was fulfilled: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is used only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here or any</w:t>
        <w:br w:type="textWrapping"/>
        <w:t xml:space="preserve">where. It is strange that any should be</w:t>
        <w:br w:type="textWrapping"/>
        <w:t xml:space="preserve">found, at this period of the progress of</w:t>
        <w:br w:type="textWrapping"/>
        <w:t xml:space="preserve">exegesis, to go back to a view which is</w:t>
        <w:br w:type="textWrapping"/>
        <w:t xml:space="preserve">both superficial and ungrammatical. The</w:t>
        <w:br w:type="textWrapping"/>
        <w:t xml:space="preserve">prophecy is partly from the LXX, partly</w:t>
        <w:br w:type="textWrapping"/>
        <w:t xml:space="preserve">an original translation. The LXX have</w:t>
        <w:br w:type="textWrapping"/>
        <w:t xml:space="preserve">‘Jacob my servant...Israel my chosen</w:t>
        <w:br w:type="textWrapping"/>
        <w:t xml:space="preserve">...,’ but the Rabbis generally understood</w:t>
        <w:br w:type="textWrapping"/>
        <w:t xml:space="preserve">it of the Messiah.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shall shew</w:t>
        <w:br w:type="textWrapping"/>
        <w:t xml:space="preserve">(announce) judgment to the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</w:t>
        <w:br w:type="textWrapping"/>
        <w:t xml:space="preserve">in his office as Messiah and Judge. In</w:t>
        <w:br w:type="textWrapping"/>
        <w:t xml:space="preserve">these words the majesty of his future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glory is contrasted with the meekness</w:t>
        <w:br w:type="textWrapping"/>
        <w:t xml:space="preserve">about to be spoken of: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‘And yet He</w:t>
        <w:br w:type="textWrapping"/>
        <w:t xml:space="preserve">shall not,’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proverbial expression for, ‘He will not crush the contrite heart, nor extinguish the slightest</w:t>
        <w:br w:type="textWrapping"/>
        <w:t xml:space="preserve">spark of repentant feeling in the sinner.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Until He shall have brought out</w:t>
        <w:br w:type="textWrapping"/>
        <w:t xml:space="preserve">the conflict, the cause, the judgment, unto</w:t>
        <w:br w:type="textWrapping"/>
        <w:t xml:space="preserve">victory,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caused it, i.e.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issue in victory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such shall be his behaviour</w:t>
        <w:br w:type="textWrapping"/>
        <w:t xml:space="preserve">and such his gracious tenderness, during</w:t>
        <w:br w:type="textWrapping"/>
        <w:t xml:space="preserve">the day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grace: while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conflict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yet going on,—the judgment not yet decided.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CASTING OUT</w:t>
        <w:br w:type="textWrapping"/>
        <w:t xml:space="preserve">DEVILS BY BEELZEBUB,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DISCOURSE THEREON. DEMAND OF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SIGN FROM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FURTHER 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iii.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0: Luke xi.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6, where also see notes. This account is</w:t>
        <w:br w:type="textWrapping"/>
        <w:t xml:space="preserve">given by Luke later in our Lord’s ministry, but without any fixed situation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time, and with less copiousness of detail.</w:t>
        <w:br w:type="textWrapping"/>
        <w:t xml:space="preserve">See also ch. ix. 32, and notes there. St.</w:t>
        <w:br w:type="textWrapping"/>
        <w:t xml:space="preserve">Mark (iii. 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29) gives part of the dis-</w:t>
        <w:br w:type="textWrapping"/>
        <w:t xml:space="preserve">course which follows, but without any determinate sequence, and omitting the miracle which led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Is not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This, form of question is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a doubt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denial, involving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fact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surmise in</w:t>
        <w:br w:type="textWrapping"/>
        <w:t xml:space="preserve">the affirmative.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‘Surely this is not…?’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ix. 27,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sbwzsNS3V20mw2vnZPKzUGwMGg==">AMUW2mUbdaRFqvv+R5lNKF/MfX4NNk77vn8dEu07EoTc52j6wULtOqUABleDoeX3gYEDyxKvMoOuhzgFdl+OgHMuZrBhRLwbc7U8QzKkqQINK4V5WkLfWKI=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