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parable does not say: but let us</w:t>
        <w:br w:type="textWrapping"/>
        <w:t xml:space="preserve">remember, the Creator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sets</w:t>
        <w:br w:type="textWrapping"/>
        <w:t xml:space="preserve">forth a law of his own creation, with</w:t>
        <w:br w:type="textWrapping"/>
        <w:t xml:space="preserve">which our judgments must be in accord.</w:t>
        <w:br w:type="textWrapping"/>
        <w:t xml:space="preserve">This verse resumes again the leading argument, and sets forth the inconsistency of</w:t>
        <w:br w:type="textWrapping"/>
        <w:t xml:space="preserve">the Pharisees in representing Him 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league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evil, whose works were uniformly good. But the words have a</w:t>
        <w:br w:type="textWrapping"/>
        <w:t xml:space="preserve">double reference: to our Lord Himself,</w:t>
        <w:br w:type="textWrapping"/>
        <w:t xml:space="preserve">who could not be evil, seeing that His</w:t>
        <w:br w:type="textWrapping"/>
        <w:t xml:space="preserve">works were good; and (which leads on to</w:t>
        <w:br w:type="textWrapping"/>
        <w:t xml:space="preserve">the next verse) to the Pharisees, who</w:t>
        <w:br w:type="textWrapping"/>
        <w:t xml:space="preserve">could not speak good things, because their</w:t>
        <w:br w:type="textWrapping"/>
        <w:t xml:space="preserve">works were evil.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35—37.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{35} The treasure spoken of is that inner storehouse</w:t>
        <w:br w:type="textWrapping"/>
        <w:t xml:space="preserve">of good and evil only seen by God and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artially) by ourselves. And on that 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words, so lightly thought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by the world and the careless, spring</w:t>
        <w:br w:type="textWrapping"/>
        <w:t xml:space="preserve">from the inner fountains of good and ill,</w:t>
        <w:br w:type="textWrapping"/>
        <w:t xml:space="preserve">therefore they will form subjects of the</w:t>
        <w:br w:type="textWrapping"/>
        <w:t xml:space="preserve">judgment of the great day, when the</w:t>
        <w:br w:type="textWrapping"/>
        <w:t xml:space="preserve">whole life shall be unfolded and pronounced upon. See James 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perhaps best taken here in its</w:t>
        <w:br w:type="textWrapping"/>
        <w:t xml:space="preserve">milder and negative sense, as not yet determined on till the judgment: so that</w:t>
        <w:br w:type="textWrapping"/>
        <w:t xml:space="preserve">our Lord’s declaration is a deduction “a</w:t>
        <w:br w:type="textWrapping"/>
        <w:t xml:space="preserve">minori,” and if of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saying, then</w:t>
        <w:br w:type="textWrapping"/>
        <w:t xml:space="preserve">how much more of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saying!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overflow</w:t>
        <w:br w:type="textWrapping"/>
        <w:t xml:space="preserve">of 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 specimen of what is</w:t>
        <w:br w:type="textWrapping"/>
        <w:t xml:space="preserve">within: is the outward utterance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on this ground will form a subject of strict enquiry in the great 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 considerable and weighty part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Luke (xi. 15,</w:t>
        <w:br w:type="textWrapping"/>
        <w:t xml:space="preserve">16)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laces the accusation of casting out</w:t>
        <w:br w:type="textWrapping"/>
        <w:t xml:space="preserve">devils by Beelzebub and this request together, and then the discourse follows. It</w:t>
        <w:br w:type="textWrapping"/>
        <w:t xml:space="preserve">seems that the first of the discourse</w:t>
        <w:br w:type="textWrapping"/>
        <w:t xml:space="preserve">gave rise, as here related, to the request</w:t>
        <w:br w:type="textWrapping"/>
        <w:t xml:space="preserve">for a sign (from Heaven); but, as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might naturally expect, and as we learn</w:t>
        <w:br w:type="textWrapping"/>
        <w:t xml:space="preserve">from St. Luke, on the part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different</w:t>
        <w:br w:type="textWrapping"/>
        <w:t xml:space="preserve">persons from those who made the accusation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consequence of our Lord declaring that His miracles were wrought</w:t>
        <w:br w:type="textWrapping"/>
        <w:t xml:space="preserve">by the Holy Ghost, they wish to see some</w:t>
        <w:br w:type="textWrapping"/>
        <w:t xml:space="preserve">decisive proof of this by a sign, not from</w:t>
        <w:br w:type="textWrapping"/>
        <w:t xml:space="preserve">Himself,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account in ch. xvi. 1–4 manifestly relates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a different occurrence: see notes there.</w:t>
        <w:br w:type="textWrapping"/>
        <w:t xml:space="preserve">Cf. John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xii.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adulterous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reff.), because they</w:t>
        <w:br w:type="textWrapping"/>
        <w:t xml:space="preserve">been the peculiar people of the Lord,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departing from Him had broken the</w:t>
        <w:br w:type="textWrapping"/>
        <w:t xml:space="preserve">covenant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 the</w:t>
        <w:br w:type="textWrapping"/>
        <w:t xml:space="preserve">similitude so common in the prophets.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shall no sign</w:t>
        <w:br w:type="textWrapping"/>
        <w:t xml:space="preserve">be given 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not, as has been maintained, exclude our Lord’s miracles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is the direct answer to</w:t>
        <w:br w:type="textWrapping"/>
        <w:t xml:space="preserve">their request in the sense in which we</w:t>
        <w:br w:type="textWrapping"/>
        <w:t xml:space="preserve">know they used the word, ‘a sign,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 Him, and so able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susp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ected of magic 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Heaven.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Besides, even if this were not so, how can</w:t>
        <w:br w:type="textWrapping"/>
        <w:t xml:space="preserve">the refusing to work a miracle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satisfy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affect the nature or signification of</w:t>
        <w:br w:type="textWrapping"/>
        <w:t xml:space="preserve">those wrought on different occasions, and</w:t>
        <w:br w:type="textWrapping"/>
        <w:t xml:space="preserve">with a totally different view?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Jonas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most remarkable foreshadowing in the O.T. of the resurrection</w:t>
        <w:br w:type="textWrapping"/>
        <w:t xml:space="preserve">of our Lord. It was of course impossible</w:t>
        <w:br w:type="textWrapping"/>
        <w:t xml:space="preserve">that His resurrection should be represented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actual resurrection, as his birth was</w:t>
        <w:br w:type="textWrapping"/>
        <w:t xml:space="preserve">by births (Isaac, Samson, Samuel, Mahershalalhashbaz), and His death by deaths</w:t>
        <w:br w:type="textWrapping"/>
        <w:t xml:space="preserve">(Abel; the substitute for Isaac; Zechariah the prophet; the daily and occasional</w:t>
        <w:br w:type="textWrapping"/>
        <w:t xml:space="preserve">sacrifices); so that we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events</w:t>
        <w:br w:type="textWrapping"/>
        <w:t xml:space="preserve">symbolic of his resurrection (Joseph’s history; Isaac’s sacrifice; Daniel’s and Jonah’s deliverance), representing it in a</w:t>
        <w:br w:type="textWrapping"/>
        <w:t xml:space="preserve">figure (lit.,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parable,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Heb. xi. 19).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before us the figure was very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1iU2wbDW/AUo9UNy7r9YyGfKmg==">CgMxLjA4AHIhMXI4SkJkejZRZVg4bEhEVHdvY0hKc21PZ3JHdW5XaHN6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