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to the divine origin of the Mosaic</w:t>
        <w:br w:type="textWrapping"/>
        <w:t xml:space="preserve">law: not merely of the Decalogue, as such,</w:t>
        <w:br w:type="textWrapping"/>
        <w:t xml:space="preserve">for the second command quoted is not in</w:t>
        <w:br w:type="textWrapping"/>
        <w:t xml:space="preserve">the Decalogue, and it is to be observed</w:t>
        <w:br w:type="textWrapping"/>
        <w:t xml:space="preserve">that where the text has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Mark (vii. 10) has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Lightfoot on this verse shews that the expression cited by our Lord did not always</w:t>
        <w:br w:type="textWrapping"/>
        <w:t xml:space="preserve">bind the utterer to consecrate his property to religious uses, but was by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mere utterance sufficient to absolve him</w:t>
        <w:br w:type="textWrapping"/>
        <w:t xml:space="preserve">from the duty of caring for his parents:</w:t>
        <w:br w:type="textWrapping"/>
        <w:t xml:space="preserve">see further on the word Corban in Mark</w:t>
        <w:br w:type="textWrapping"/>
        <w:t xml:space="preserve">vii. 11. The construction of this and the</w:t>
        <w:br w:type="textWrapping"/>
        <w:t xml:space="preserve">following verse is: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ye say, Whosoever</w:t>
        <w:br w:type="textWrapping"/>
        <w:t xml:space="preserve">shall say to his father or mother, That</w:t>
        <w:br w:type="textWrapping"/>
        <w:t xml:space="preserve">from which thou mightest have been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enefited by me, is an 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(consecrated to God; see above).... (understand,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[And] such an one will</w:t>
        <w:br w:type="textWrapping"/>
        <w:t xml:space="preserve">certainly not honour his [father or his</w:t>
        <w:br w:type="textWrapping"/>
        <w:t xml:space="preserve">mother]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course the latter member</w:t>
        <w:br w:type="textWrapping"/>
        <w:t xml:space="preserve">of the sentence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saying, not</w:t>
        <w:br w:type="textWrapping"/>
        <w:t xml:space="preserve">that of the Pharisees.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portion of Isaiah from which this citation is</w:t>
        <w:br w:type="textWrapping"/>
        <w:t xml:space="preserve">made (ch, xxiv.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xxxv.) sets forth, in alternate threatenings and promises, the punishment of the mere nominal Israel, and the</w:t>
        <w:br w:type="textWrapping"/>
        <w:t xml:space="preserve">salvation of the true Israel of God. And,</w:t>
        <w:br w:type="textWrapping"/>
        <w:t xml:space="preserve">as so often in the prophetic word, its</w:t>
        <w:br w:type="textWrapping"/>
        <w:t xml:space="preserve">threats and promises are for all times of</w:t>
        <w:br w:type="textWrapping"/>
        <w:t xml:space="preserve">the Church;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particular event then</w:t>
        <w:br w:type="textWrapping"/>
        <w:t xml:space="preserve">foretold being but one fulfilment of those</w:t>
        <w:br w:type="textWrapping"/>
        <w:t xml:space="preserve">deeper and more general declarations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shall be ever having their successive illustrations in His dealings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“He leaves the Scribes</w:t>
        <w:br w:type="textWrapping"/>
        <w:t xml:space="preserve">and Pharisees, as incorrigible, and already</w:t>
        <w:br w:type="textWrapping"/>
        <w:t xml:space="preserve">silenced and put to shame, and turns His</w:t>
        <w:br w:type="textWrapping"/>
        <w:t xml:space="preserve">discourse to the multitude as more worthy</w:t>
        <w:br w:type="textWrapping"/>
        <w:t xml:space="preserve">of being addressed.” Euthymius.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took place after our Lord had</w:t>
        <w:br w:type="textWrapping"/>
        <w:t xml:space="preserve">entered the house and was apart from the</w:t>
        <w:br w:type="textWrapping"/>
        <w:t xml:space="preserve">multitude: see Mark ver. 17.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saying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multitude in ver.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teaching of the Pharisees, alto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 of human, and not of divine planting. That this is so, is clear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them</w:t>
        <w:br w:type="textWrapping"/>
        <w:t xml:space="preserve">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following, and by the analogy of</w:t>
        <w:br w:type="textWrapping"/>
        <w:t xml:space="preserve">our Lord’s parabolic symbolism, in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seed, plant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are compared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however in its growth becomes identified with, and impersonated by, its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mSdHkK69E6cmO/UFPuDq0aMErQ==">CgMxLjA4AHIhMUpPYm5CZjZielEwWklGaVRqamhkYlJNemlJWERIUkxu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