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midst of the coasts of Decapolis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maimed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properly persons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maimed in the hands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word is also sometimes used of the feet. The meaning need not be, that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wanting member was supplied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these persons; but that a debility, such as that arising from paralysis or wound, was healed.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cast them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in neglect, but from haste and rivalry.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St. Mark (vii. 32–37) gives an instance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dumb speaking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God of Israel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Perhaps this last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 added as an expression of the joy of the</w:t>
        <w:br w:type="textWrapping"/>
        <w:t xml:space="preserve">disciples themselves, who contrasted the</w:t>
        <w:br w:type="textWrapping"/>
        <w:t xml:space="preserve">fulness and abundance of the acts of mercy</w:t>
        <w:br w:type="textWrapping"/>
        <w:t xml:space="preserve">now before them, with the instance which</w:t>
        <w:br w:type="textWrapping"/>
        <w:t xml:space="preserve">they had just seen of the difficulty with</w:t>
        <w:br w:type="textWrapping"/>
        <w:t xml:space="preserve">which the faith of a Gentile had prevailed</w:t>
        <w:br w:type="textWrapping"/>
        <w:t xml:space="preserve">to obtain help.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modern</w:t>
        <w:br w:type="textWrapping"/>
        <w:t xml:space="preserve">German interpreters assume the identity</w:t>
        <w:br w:type="textWrapping"/>
        <w:t xml:space="preserve">of this miracle with that narrated in ch. xiv.</w:t>
        <w:br w:type="textWrapping"/>
        <w:t xml:space="preserve">14 ff. If this be so, then our Evangelists</w:t>
        <w:br w:type="textWrapping"/>
        <w:t xml:space="preserve">must have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invented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speech attributed to</w:t>
        <w:br w:type="textWrapping"/>
        <w:t xml:space="preserve">our Lord in ch. xvi. 9, 10. But as Ebrard justly remarks, every circumstance which</w:t>
        <w:br w:type="textWrapping"/>
        <w:t xml:space="preserve">could vary, does vary, i in the two accounts.</w:t>
        <w:br w:type="textWrapping"/>
        <w:t xml:space="preserve">The situation in the wilderness, the kind</w:t>
        <w:br w:type="textWrapping"/>
        <w:t xml:space="preserve">of food at hand, the blessing and breaking,</w:t>
        <w:br w:type="textWrapping"/>
        <w:t xml:space="preserve">and distributing by means of the disciples,</w:t>
        <w:br w:type="textWrapping"/>
        <w:t xml:space="preserve">these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common to the two accounts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  <w:br w:type="textWrapping"/>
        <w:t xml:space="preserve">were likely to be so: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matter is introduced by our Lord Himself with</w:t>
        <w:br w:type="textWrapping"/>
        <w:t xml:space="preserve">an expression of pity for the multitudes who had continued with Him three days: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here also the provision is greater,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numbers are less than on the former occasion.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there is one small token of authenticity</w:t>
        <w:br w:type="textWrapping"/>
        <w:t xml:space="preserve">which marks these two accounts as referring to two distinct events, even had we</w:t>
        <w:br w:type="textWrapping"/>
        <w:t xml:space="preserve">not such direct testimony as that of ch.</w:t>
        <w:br w:type="textWrapping"/>
        <w:t xml:space="preserve">xvi. 9, 10. It is, that whereas the baskets</w:t>
        <w:br w:type="textWrapping"/>
        <w:t xml:space="preserve">in which the fragments were collected on</w:t>
        <w:br w:type="textWrapping"/>
        <w:t xml:space="preserve">the other occasion are called by all four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Evangelists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cophini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those used for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purpose after this miracle are in both Matt.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spyrides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when our Lord</w:t>
        <w:br w:type="textWrapping"/>
        <w:t xml:space="preserve">refers to the two miracles,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same distinction is observed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 particularity which</w:t>
        <w:br w:type="textWrapping"/>
        <w:t xml:space="preserve">could not have arisen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pointing to</w:t>
        <w:br w:type="textWrapping"/>
        <w:t xml:space="preserve">a matter of fact, that, whatever the distinction be, which is uncertain, different</w:t>
        <w:br w:type="textWrapping"/>
        <w:t xml:space="preserve">kinds of baskets were used on the two</w:t>
        <w:br w:type="textWrapping"/>
        <w:t xml:space="preserve">occasions, Perhaps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strangest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reason</w:t>
        <w:br w:type="textWrapping"/>
        <w:t xml:space="preserve">for supposing the two identical is 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imagined difficulty in the questions of the disciples,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Whence should we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&amp;c.,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 soon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after the former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miracle;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slowness to believe and trust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ivine power were not repeatedly found</w:t>
        <w:br w:type="textWrapping"/>
        <w:t xml:space="preserve">among men,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instanced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Scripture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elf;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Exod. xvi.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Num.</w:t>
        <w:br w:type="textWrapping"/>
        <w:t xml:space="preserve">xi. 21, 22: and read in Exod. xvii.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</w:t>
        <w:br w:type="textWrapping"/>
        <w:t xml:space="preserve">the murmurings of the Isra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lites immediately after their deliverance at the Red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Sea. And even could we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recognize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  <w:br w:type="textWrapping"/>
        <w:t xml:space="preserve">as a difficulty, it is not necessarily implied</w:t>
        <w:br w:type="textWrapping"/>
        <w:t xml:space="preserve">in the text. Our Lord puts the matter to</w:t>
        <w:br w:type="textWrapping"/>
        <w:t xml:space="preserve">them as a question, without the slightest</w:t>
        <w:br w:type="textWrapping"/>
        <w:t xml:space="preserve">intimation of His intention to supply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want supernaturally. They make answer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wY1/vOZtBs9EuiET1UzKyGSnoA==">CgMxLjA4AHIhMUtfZTV6NTNEVGhIdGphWXkwOXJqZ2JidVdneDFYRVJZ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