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unto us, seeing thou doest these things?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for they had had many signs, which are now included in their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“these things.”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The second question is an expansion of the first.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25.]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baptism,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meaning thereby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whole office and teaching,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which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baptism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was the central point and seal.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If they had recognized the heavenly mission of John, they must have also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acknowledged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authority by which Jesus did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these things, for John expressly declared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that he was sent to testify of Him, and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bore witness to having seen the Holy Spirit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descend and rest upon Him. John i.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3,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34.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believe him,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‘give credit to his words:’ ‘for those words were testimonies to Me.’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26, 27.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{26} These ‘blind leaders of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blind’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had so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far made an insincer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concession to the people’s persuasion, as to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allow John to pass for a prophet; but they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shrunk from the reproof which was sure to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follow their acknowledging it now. This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consultation among themselves is related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almost verbatim by the three Evangelists.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intelligence of it may have been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originally derived from Nicodemus or Joseph of Arimath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aea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{27} 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neither tell I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you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our Lord is an answer, not to their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outward words,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 cannot tell,”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but to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their inward thoughts,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“we will not tell.”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28.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But what think ye?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 formula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connexion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 but doubtless here intended to help the questioners to the true answer of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their difficulty about John’s baptism.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following parable (peculiar to Matthew) refers, under the image of the two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sons, to two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classes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persons, both summoned by the great Father to “work 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His vineyard”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s00 ch. xx. 1);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both Jews,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of His family.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ir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answer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summons by a direct and open refusal 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these are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open sinners,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publicans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harlots, who disobey God to His face.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But afterwards, when better thoughts are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suggested, they repent, and go.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second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class receive the summons with a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respectful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assent (not unaccompanied with a self-exaltation and contrast to the other, implied in the emphatic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sir) — having however no intention of obeying (there is no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mention of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change of mind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this case):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but go not. These are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Scribes and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Pharisees,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with their shew of legal obedience, who “said, and did not” (ch. xxiii.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3). It will of course admit of wider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applications —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Jews and Heathens, or any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similar pair of classes who may thus be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compared.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31.] The go .... before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you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may be taken either 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declarative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go before you,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the matter of God’s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arrangem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ents,— 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as assertive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mere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matter of fact,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are going before you.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1aikUANRI1KA4fIG8akYD50gHNQ==">CgMxLjA4AHIhMXhidzVDWXh2dmlURzdPazJmeXdLV1FsTmU5djF2MXNi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