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“it may be they will reverence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signify His gracious adoption,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ake, of every means which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sinners to repentance. The difference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fully made between the Son and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other messengers ; see Mark,—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therefore one Son, his wellbeloved ..:”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as Stier remarks, this is the real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direct answer to the question in ver. 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appears here, not in his character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Redeemer, but in that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messenger demanding the fruits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vineyard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iv. 17.)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This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Nicodemus, John iii. 2,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“we know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thou art a teacher come from God,”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at the beginning of His ministry;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much more then after three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spent in His divine working. The latent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consciousness that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the Messiah,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expressed in the prophecy of Caiaphas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 xi. 49-62, compare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hast said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ch. xxvi. 64), added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 to the guilt of the Jewish 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rejecting and crucifying Him, however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consciousness may have been accompanied with ignorance of one kind or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of them,—see Acts iii. 17 and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heir]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the Son is in virtue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human nature: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Heb. i. 1,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come, let us kill him]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of Gen. xxxvii. 20, where Joseph’s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brethren express a similar resolution: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by the Lord in reference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history,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deeply typical of His rejection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exaltation.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resolution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actually been taken, see John xi. 53: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 immediately after the manifestation of His power as the Son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raising of Lazarus, and also immediately after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iaphas’s prophecy.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 us seize]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John xi. 48. As far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this, the parable is History: from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point, Prophecy.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partly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understood of our Lord being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to the heathen to be judged; but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as related by all three Evangelists. See also John xix. 17, and Heb.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11, 12. In Mark the order is different,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killed him, and cast him out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vineyard.”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40, 41.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{40}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Isa.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All means had been tried, and nothing;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judgment was now left.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{41}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omit the important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unto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 St. Luke has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the key to them, in telling us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 was spoken in the hearing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seem to have made the answer.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aps however the Pharisees may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this answer,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miss,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sense of the parable;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from the stron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language used, I incline to the former view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ichever said it, it was a self-condemnation, similar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ch. xxvii. 25: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form,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Nitzsch finely remarks (cited by Stier),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divine warnings to men, ‘when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themselves speak of the deeds which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about to do, and pronounce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 them.’ So striking, even up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 moment, is the mysterious union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free-will with divine foresight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ii. 23: Gen. 1. 20), that after all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warnings frustrated, the conscience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sinner himself interposes to save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ruin. In the original the adverb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miserably”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that belonging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adjective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“wicked.”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hardly be given in a version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English: it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expression 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He will destroy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wretchedly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wretches as they are.”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applied to persons,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means,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kind,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identify,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“which”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classifies. They do not specify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what sort,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new tenants will be.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clause is peculiar to Matthew.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observe that our Lord here makes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 lord ... cometh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coincide with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destruction of Jerusalem,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incontestably the overthrow of the wicked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husbandmen. This passage forms therefore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aE4Wy3gNOMBDue7ney9zAcORw==">CgMxLjA4AHIhMUU1UHlXalE1c0doMkhUcndWcmVvU2IyMnVlZUlDN1ZD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