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fulfilled the covenant of God to Abraham, “in thy seed shall all the nations</w:t>
        <w:br w:type="textWrapping"/>
        <w:t xml:space="preserve">of the earth (so in LXX) be blessed.”</w:t>
        <w:br w:type="textWrapping"/>
        <w:t xml:space="preserve">Gen. xxii. 18.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43.] {41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very</w:t>
        <w:br w:type="textWrapping"/>
        <w:t xml:space="preserve">important to observe the distinction between the blessing, ver. 34, and the curse</w:t>
        <w:br w:type="textWrapping"/>
        <w:t xml:space="preserve">here. ‘Blessed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my Father: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cursed of my Father.’ because all man’s</w:t>
        <w:br w:type="textWrapping"/>
        <w:t xml:space="preserve">salvation is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his condemnation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Kingdom,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prepared 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‘the fire, which has been</w:t>
        <w:br w:type="textWrapping"/>
        <w:t xml:space="preserve">prepared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 and his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[greater definiteness could not be given</w:t>
        <w:br w:type="textWrapping"/>
        <w:t xml:space="preserve">than by the words in the original: that</w:t>
        <w:br w:type="textWrapping"/>
        <w:t xml:space="preserve">particular fire, that eternal fire, created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 special purpose]—not,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is election to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there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reprobation to death: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book of Life—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book 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 hell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man—because the blood of Jesus hath purchased life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they who will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serve the devil, must share with him in the</w:t>
        <w:br w:type="textWrapping"/>
        <w:t xml:space="preserve">end.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repetition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all these particulars shews how exact even for every</w:t>
        <w:br w:type="textWrapping"/>
        <w:t xml:space="preserve">individual the judgment will be. Stier</w:t>
        <w:br w:type="textWrapping"/>
        <w:t xml:space="preserve">excellently remarks,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shews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termination of the High Priesthood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office He only intercedes</w:t>
        <w:br w:type="textWrapping"/>
        <w:t xml:space="preserve">and blesses. Henceforth He is King and</w:t>
        <w:br w:type="textWrapping"/>
        <w:t xml:space="preserve">Lord—his enemies being now for ever put</w:t>
        <w:br w:type="textWrapping"/>
        <w:t xml:space="preserve">under his feet.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44, 45.] {44}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</w:t>
        <w:br w:type="textWrapping"/>
        <w:t xml:space="preserve">on ver. 37. {45} The sublimity of this</w:t>
        <w:br w:type="textWrapping"/>
        <w:t xml:space="preserve">description surpasses all imagination—</w:t>
        <w:br w:type="textWrapping"/>
        <w:t xml:space="preserve">Christ, as the Son of Man, the Shepherd,</w:t>
        <w:br w:type="textWrapping"/>
        <w:t xml:space="preserve">the King, the Judge—as the centre and</w:t>
        <w:br w:type="textWrapping"/>
        <w:t xml:space="preserve">end of all human love, bringing out and</w:t>
        <w:br w:type="textWrapping"/>
        <w:t xml:space="preserve">rewarding his latent grace in those who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lived in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everlastingly punishing</w:t>
        <w:br w:type="textWrapping"/>
        <w:t xml:space="preserve">those who have quenched it in an unloving and selfish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the accomplishment of his mediatorial office,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even from out of the iniquities of a rebellious world, his sovereign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rejoice against judgment.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John v. 28, 29; and as taking up the prophetic history at this point, Rev. xxi.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Observe,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epithet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</w:t>
        <w:br w:type="textWrapping"/>
        <w:t xml:space="preserve">in the original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punishment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are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 of is not bare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would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annihilation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its opposite;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blessednes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punishment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antagonist</w:t>
        <w:br w:type="textWrapping"/>
        <w:t xml:space="preserve">terms. As regards the interpretation of</w:t>
        <w:br w:type="textWrapping"/>
        <w:t xml:space="preserve">this chapter, the coincidence of these portions of Scripture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with the process of the great things in Rev. xx.</w:t>
        <w:br w:type="textWrapping"/>
        <w:t xml:space="preserve">and xxi. is never to be overlooked, and</w:t>
        <w:br w:type="textWrapping"/>
        <w:t xml:space="preserve">should be our guide to their explanation,</w:t>
        <w:br w:type="textWrapping"/>
        <w:t xml:space="preserve">however distrustful we may be of its certainty. Those who set this coincidence</w:t>
        <w:br w:type="textWrapping"/>
        <w:t xml:space="preserve">aside, and interpret each portion by itself,</w:t>
        <w:br w:type="textWrapping"/>
        <w:t xml:space="preserve">without connexion with the rest, are clearly</w:t>
        <w:br w:type="textWrapping"/>
        <w:t xml:space="preserve">wrong. The only alternative view seems</w:t>
        <w:br w:type="textWrapping"/>
        <w:t xml:space="preserve">to be that which regards this as the judgment at the time of Israel’s deliverance,</w:t>
        <w:br w:type="textWrapping"/>
        <w:t xml:space="preserve">previous to the Millennium. This has been</w:t>
        <w:br w:type="textWrapping"/>
        <w:t xml:space="preserve">urged on me lately by a very able correspondent: but I cannot see how it</w:t>
        <w:br w:type="textWrapping"/>
        <w:t xml:space="preserve">agrees with the great features of the</w:t>
        <w:br w:type="textWrapping"/>
        <w:t xml:space="preserve">description as pointed out above.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XXVI. 1, 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FINAL ANNOUNCEMENT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SUFFERINGS, NOW CLOSE AT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xiv. 1. Luke xxii.1.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S3hpUTcxG5jGgO2fLpXbayNxg==">CgMxLjA4AHIhMTh0WWJoZ0NrS2FfRjNoYW5RTElHZnY1LXdGYWJ0T2JO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