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xxii. 7, cited above. A similar objection</w:t>
        <w:br w:type="textWrapping"/>
        <w:t xml:space="preserve">lies against (3) the notion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 the Passover at the strictly legal,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Jews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an inaccurate 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egal time.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(4)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ate only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commemorative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Passov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er, such as the Jews now celebrate,</w:t>
        <w:br w:type="textWrapping"/>
        <w:t xml:space="preserve">and not a sacrificial Passover (Grotius).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this is refuted by the absence of any</w:t>
        <w:br w:type="textWrapping"/>
        <w:t xml:space="preserve">mention of a commemorative Passover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ore the destruction of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besides</w:t>
        <w:br w:type="textWrapping"/>
        <w:t xml:space="preserve">its inconsistency with the above-cited passages. (5)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eat the</w:t>
        <w:br w:type="textWrapping"/>
        <w:t xml:space="preserve">Passover 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is plainly not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solution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difficulty, but a setting</w:t>
        <w:br w:type="textWrapping"/>
        <w:t xml:space="preserve">aside of one of the differing accounts:</w:t>
        <w:br w:type="textWrapping"/>
        <w:t xml:space="preserve">for the three Gospels manifestly give the</w:t>
        <w:br w:type="textWrapping"/>
        <w:t xml:space="preserve">impression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 it. (6) The</w:t>
        <w:br w:type="textWrapping"/>
        <w:t xml:space="preserve">solution offered by Chrysostom, on our</w:t>
        <w:br w:type="textWrapping"/>
        <w:t xml:space="preserve">ver. 58, is at least ingenious. The Council,</w:t>
        <w:br w:type="textWrapping"/>
        <w:t xml:space="preserve">he says, did not eat their Passover at the</w:t>
        <w:br w:type="textWrapping"/>
        <w:t xml:space="preserve">proper time,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another day, and</w:t>
        <w:br w:type="textWrapping"/>
        <w:t xml:space="preserve">broke the law, because of their eagerness</w:t>
        <w:br w:type="textWrapping"/>
        <w:t xml:space="preserve">about this execution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chose even</w:t>
        <w:br w:type="textWrapping"/>
        <w:t xml:space="preserve">to neglect the Passover, that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ight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ulfil their murderous desire.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had</w:t>
        <w:br w:type="textWrapping"/>
        <w:t xml:space="preserve">been suggest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in a scholium of</w:t>
        <w:br w:type="textWrapping"/>
        <w:t xml:space="preserve">Eusebius. But St. John’s habit of noticing</w:t>
        <w:br w:type="textWrapping"/>
        <w:t xml:space="preserve">and explaining all such exceptional circumstances, makes it very improbable. I</w:t>
        <w:br w:type="textWrapping"/>
        <w:t xml:space="preserve">may state, as some solutions have been</w:t>
        <w:br w:type="textWrapping"/>
        <w:t xml:space="preserve">sent me by correspondents, that I have</w:t>
        <w:br w:type="textWrapping"/>
        <w:t xml:space="preserve">seen nothing besides the above, which justifies any extended notice.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will conclude this note by offering a</w:t>
        <w:br w:type="textWrapping"/>
        <w:t xml:space="preserve">few hints which, though not pointing to</w:t>
        <w:br w:type="textWrapping"/>
        <w:t xml:space="preserve">any particular solution, ought I think to</w:t>
        <w:br w:type="textWrapping"/>
        <w:t xml:space="preserve">enter into the consideration of the question.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That, on the evening of the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(i.e. the beginning of the 14th) of</w:t>
        <w:br w:type="textWrapping"/>
        <w:t xml:space="preserve">Nisan,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ate a meal with 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which the announcement that</w:t>
        <w:br w:type="textWrapping"/>
        <w:t xml:space="preserve">one of them should betray Him was made:</w:t>
        <w:br w:type="textWrapping"/>
        <w:t xml:space="preserve">after which He went into the garden</w:t>
        <w:br w:type="textWrapping"/>
        <w:t xml:space="preserve">of Gethsemane, and was betrayed (Matt.,</w:t>
        <w:br w:type="textWrapping"/>
        <w:t xml:space="preserve">Mark, Luke, John):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sense or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meal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regarded as</w:t>
        <w:br w:type="textWrapping"/>
        <w:t xml:space="preserve">the eating of the Passover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(Matt., Mark,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ke). (The same may be inferred even</w:t>
        <w:br w:type="textWrapping"/>
        <w:t xml:space="preserve">from John; for some of the disciples</w:t>
        <w:br w:type="textWrapping"/>
        <w:t xml:space="preserve">must have gone into the praetorium, and</w:t>
        <w:br w:type="textWrapping"/>
        <w:t xml:space="preserve">have heard the conversation between our</w:t>
        <w:br w:type="textWrapping"/>
        <w:t xml:space="preserve">Lord and Pilate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38]:</w:t>
        <w:br w:type="textWrapping"/>
        <w:t xml:space="preserve">and as they were equally bound with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other Jews to eat the Passover, would</w:t>
        <w:br w:type="textWrapping"/>
        <w:t xml:space="preserve">equally with them have been incapa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so doing by having incurred</w:t>
        <w:br w:type="textWrapping"/>
        <w:t xml:space="preserve">defilement,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they not eaten theirs previously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would appear too, from Joseph</w:t>
        <w:br w:type="textWrapping"/>
        <w:t xml:space="preserve">of Arimath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Pilate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[Mark xv. 42, 43],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also</w:t>
        <w:br w:type="textWrapping"/>
        <w:t xml:space="preserve">had eaten his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ordinary passover 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for (Exod.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22) when at was eaten,</w:t>
        <w:br w:type="textWrapping"/>
        <w:t xml:space="preserve">none might go out of the house until morning; whereas, not only did Judas go out</w:t>
        <w:br w:type="textWrapping"/>
        <w:t xml:space="preserve">during the meal (John xiii. 29), but our</w:t>
        <w:br w:type="textWrapping"/>
        <w:t xml:space="preserve">Lord and the disciples went out when the</w:t>
        <w:br w:type="textWrapping"/>
        <w:t xml:space="preserve">meal was finished. Also when Judas went</w:t>
        <w:br w:type="textWrapping"/>
        <w:t xml:space="preserve">out, it was understood that he was gone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could not have been the</w:t>
        <w:br w:type="textWrapping"/>
        <w:t xml:space="preserve">case, had it been the night of eating the</w:t>
        <w:br w:type="textWrapping"/>
        <w:t xml:space="preserve">Passover, which in all years was sabbatically hallowed.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St. John, who omits</w:t>
        <w:br w:type="textWrapping"/>
        <w:t xml:space="preserve">all mention of the Paschal nature of this</w:t>
        <w:br w:type="textWrapping"/>
        <w:t xml:space="preserve">meal, also omits all mention of the distribution of the symbolic bread and wine.</w:t>
        <w:br w:type="textWrapping"/>
        <w:t xml:space="preserve">The latter act was, strictly speaking,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ticipatory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Body was not yet broken,</w:t>
        <w:br w:type="textWrapping"/>
        <w:t xml:space="preserve">nor the Blood shed (but see note on ver.</w:t>
        <w:br w:type="textWrapping"/>
        <w:t xml:space="preserve">26, end). Is it possible that the words</w:t>
        <w:br w:type="textWrapping"/>
        <w:t xml:space="preserve">in Luke xxii. 15, 16 may have been meant</w:t>
        <w:br w:type="textWrapping"/>
        <w:t xml:space="preserve">by our Lord as an express declaration of</w:t>
        <w:br w:type="textWrapping"/>
        <w:t xml:space="preserve">the anticipatory nature of that Passover</w:t>
        <w:br w:type="textWrapping"/>
        <w:t xml:space="preserve">meal likewise? May they mean, ‘I have</w:t>
        <w:br w:type="textWrapping"/>
        <w:t xml:space="preserve">been most anxious to eat this Paschal meal</w:t>
        <w:br w:type="textWrapping"/>
        <w:t xml:space="preserve">with you to-night (before I suffer), for I</w:t>
        <w:br w:type="textWrapping"/>
        <w:t xml:space="preserve">shall not eat it to-morrow,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shall not eat</w:t>
        <w:br w:type="textWrapping"/>
        <w:t xml:space="preserve">of it any more with you?’ May a hint</w:t>
        <w:br w:type="textWrapping"/>
        <w:t xml:space="preserve">to the same effect be intended in ‘my time</w:t>
        <w:br w:type="textWrapping"/>
        <w:t xml:space="preserve">is at hand’ (ver. 18), as accounting for the</w:t>
        <w:br w:type="textWrapping"/>
        <w:t xml:space="preserve">time of making 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the present</w:t>
        <w:br w:type="textWrapping"/>
        <w:t xml:space="preserve">tense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literally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have the same reference?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may remark that the whole of the</w:t>
        <w:br w:type="textWrapping"/>
        <w:t xml:space="preserve">narrative of St. John, as compared with the</w:t>
        <w:br w:type="textWrapping"/>
        <w:t xml:space="preserve">others, satisfies me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can never have</w:t>
        <w:br w:type="textWrapping"/>
        <w:t xml:space="preserve">seen their accounts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inconceivable,</w:t>
        <w:br w:type="textWrapping"/>
        <w:t xml:space="preserve">that one writing for the purpose avowed</w:t>
        <w:br w:type="textWrapping"/>
        <w:t xml:space="preserve">in John 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could have found the three</w:t>
        <w:br w:type="textWrapping"/>
        <w:t xml:space="preserve">accounts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them, and have made</w:t>
        <w:br w:type="textWrapping"/>
        <w:t xml:space="preserve">no more allusion to the discrepancy than</w:t>
        <w:br w:type="textWrapping"/>
        <w:t xml:space="preserve">the faint (and to all appearance undesigned)</w:t>
        <w:br w:type="textWrapping"/>
        <w:t xml:space="preserve">ones in ib.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1; xiii. 1, 29; xviii. 28.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the first day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unleavened</w:t>
        <w:br w:type="textWrapping"/>
        <w:t xml:space="preserve">bread]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this night had been the ordinary</w:t>
        <w:br w:type="textWrapping"/>
        <w:t xml:space="preserve">time of sacrificing the Passover, the day</w:t>
        <w:br w:type="textWrapping"/>
        <w:t xml:space="preserve">preceding would not indeed have been</w:t>
        <w:br w:type="textWrapping"/>
        <w:t xml:space="preserve">strictly the first day of unleavened bread;</w:t>
        <w:br w:type="textWrapping"/>
        <w:t xml:space="preserve">but there is reason to suppose that it was</w:t>
        <w:br w:type="textWrapping"/>
        <w:t xml:space="preserve">accounted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putting away leaven</w:t>
        <w:br w:type="textWrapping"/>
        <w:t xml:space="preserve">from the houses was of the work of</w:t>
        <w:br w:type="textWrapping"/>
        <w:t xml:space="preserve">the day, and the eating of the unleavened</w:t>
        <w:br w:type="textWrapping"/>
        <w:t xml:space="preserve">bread actually commenced in the evening.</w:t>
        <w:br w:type="textWrapping"/>
        <w:t xml:space="preserve">Thus Josephus mentions eight days as constituting the feast,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including this day in</w:t>
        <w:br w:type="textWrapping"/>
        <w:t xml:space="preserve">it.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wilt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‘making</w:t>
        <w:br w:type="textWrapping"/>
        <w:t xml:space="preserve">ready’ would include the following particulars; the ration of the guest-chamber itself (which however in this case</w:t>
        <w:br w:type="textWrapping"/>
        <w:t xml:space="preserve">was already done, see Mark xiv. 15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Fnu5usXNZFW6GmEvRj58moG0A==">CgMxLjA4AHIhMWgtcEJRQWN2MHExdlc3S1I1dUlPZDZqdDZ5Zk11V2ln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