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complicated. Thus much seems</w:t>
        <w:br w:type="textWrapping"/>
        <w:t xml:space="preserve">clear,—that our Lord blessed and passed</w:t>
        <w:br w:type="textWrapping"/>
        <w:t xml:space="preserve">round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two cups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one before, the other after</w:t>
        <w:br w:type="textWrapping"/>
        <w:t xml:space="preserve">the supper,—and that He distributed the</w:t>
        <w:br w:type="textWrapping"/>
        <w:t xml:space="preserve">unleavened cake during the meal. More</w:t>
        <w:br w:type="textWrapping"/>
        <w:t xml:space="preserve">than this is conjecture. The dipping of</w:t>
        <w:br w:type="textWrapping"/>
        <w:t xml:space="preserve">the hand in the dish, and dipping and</w:t>
        <w:br w:type="textWrapping"/>
        <w:t xml:space="preserve">giving the sop, may also possibly correspond to parts of the Jewish ceremonial.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26.] as they were eating,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during</w:t>
        <w:br w:type="textWrapping"/>
        <w:t xml:space="preserve">the meal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,—as distinguished from the distribution of the cup, which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after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it.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definite article is before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bread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the original, but no especial stress must</w:t>
        <w:br w:type="textWrapping"/>
        <w:t xml:space="preserve">be laid on it; it would 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bread</w:t>
        <w:br w:type="textWrapping"/>
        <w:t xml:space="preserve">which lay before Him: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below. The</w:t>
        <w:br w:type="textWrapping"/>
        <w:t xml:space="preserve">bread would 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unleavened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the day</w:t>
        <w:br w:type="textWrapping"/>
        <w:t xml:space="preserve">was (see Exod. xii. 8).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blessed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gave thanks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amount to the same in</w:t>
        <w:br w:type="textWrapping"/>
        <w:t xml:space="preserve">practice. The looking up to heaven, and</w:t>
        <w:br w:type="textWrapping"/>
        <w:t xml:space="preserve">giving thanks was a virtual ‘blessing’ of</w:t>
        <w:br w:type="textWrapping"/>
        <w:t xml:space="preserve">the meal or the bread. It was customary</w:t>
        <w:br w:type="textWrapping"/>
        <w:t xml:space="preserve">in the Paschal meal for the Master, in</w:t>
        <w:br w:type="textWrapping"/>
        <w:t xml:space="preserve">breaking the bread,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give thanks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 the</w:t>
        <w:br w:type="textWrapping"/>
        <w:t xml:space="preserve">fruit of the earth. But our Lord did</w:t>
        <w:br w:type="textWrapping"/>
        <w:t xml:space="preserve">more than this: He gave thanks, as Grotius observes, not only for tho old creation,</w:t>
        <w:br w:type="textWrapping"/>
        <w:t xml:space="preserve">but for the new also, for the redemption of</w:t>
        <w:br w:type="textWrapping"/>
        <w:t xml:space="preserve">mankind, regarded as now accomplished.</w:t>
        <w:br w:type="textWrapping"/>
        <w:t xml:space="preserve">From 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giving of thanks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blessing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offering, the Holy Communion</w:t>
        <w:br w:type="textWrapping"/>
        <w:t xml:space="preserve">has been from the earliest times also called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eucharist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eucharistia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giving of thanks).</w:t>
        <w:br w:type="textWrapping"/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brake it]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It was a round cake</w:t>
        <w:br w:type="textWrapping"/>
        <w:t xml:space="preserve">of unleavened bread, which the Lord</w:t>
        <w:br w:type="textWrapping"/>
        <w:t xml:space="preserve">broke and divided: signifying thereby</w:t>
        <w:br w:type="textWrapping"/>
        <w:t xml:space="preserve">both the breaking of His body on the</w:t>
        <w:br w:type="textWrapping"/>
        <w:t xml:space="preserve">Cross, and the participation in the benefits</w:t>
        <w:br w:type="textWrapping"/>
        <w:t xml:space="preserve">of his death by all His. Hence the act of</w:t>
        <w:br w:type="textWrapping"/>
        <w:t xml:space="preserve">communion was known by the name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  <w:br w:type="textWrapping"/>
        <w:t xml:space="preserve">breaking of bread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Acts ii. 42. See 1 Cor.</w:t>
        <w:br w:type="textWrapping"/>
        <w:t xml:space="preserve">x. 16, also Isa. lviii. 7: Lam. iv. 4.</w:t>
        <w:br w:type="textWrapping"/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Take, eat]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Our Gospel alone has both</w:t>
        <w:br w:type="textWrapping"/>
        <w:t xml:space="preserve">words.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is spurious in Mark: both</w:t>
        <w:br w:type="textWrapping"/>
        <w:t xml:space="preserve">words, in 1 Cor. xi. 24. Here, they are</w:t>
        <w:br w:type="textWrapping"/>
        <w:t xml:space="preserve">undoubted: and seem to shew us (see</w:t>
        <w:br w:type="textWrapping"/>
        <w:t xml:space="preserve">note on Luke, ver. 17) that the Lord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did</w:t>
        <w:br w:type="textWrapping"/>
        <w:t xml:space="preserve">not Himself partake of the bread or wine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It is thought by some however that He</w:t>
        <w:br w:type="textWrapping"/>
        <w:t xml:space="preserve">did: e.g. Chrysostom,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 Himself</w:t>
        <w:br w:type="textWrapping"/>
        <w:t xml:space="preserve">drank His own Blood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 But the analogy</w:t>
        <w:br w:type="textWrapping"/>
        <w:t xml:space="preserve">of the whole, as well as these words, and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Drink ye all of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below, leads us to a</w:t>
        <w:br w:type="textWrapping"/>
        <w:t xml:space="preserve">different conclusion.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Our Lord’s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non-participation is however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 rule for the administrator of the rite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after times. Although in one sense 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represents Christ,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blessing, breaking, and distributing; in another, he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one of the disciples,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amining himself, confessing, partaking.</w:t>
        <w:br w:type="textWrapping"/>
        <w:t xml:space="preserve">Throughout all Church ministrations this</w:t>
        <w:br w:type="textWrapping"/>
        <w:t xml:space="preserve">double capacity must be borne in mind.</w:t>
        <w:br w:type="textWrapping"/>
        <w:t xml:space="preserve">Olshausen maintains the opposite view, and</w:t>
        <w:br w:type="textWrapping"/>
        <w:t xml:space="preserve">holds that the ministrant cannot unite in</w:t>
        <w:br w:type="textWrapping"/>
        <w:t xml:space="preserve">himself the two characters. But setting</w:t>
        <w:br w:type="textWrapping"/>
        <w:t xml:space="preserve">the inner verity of the matter for a moment</w:t>
        <w:br w:type="textWrapping"/>
        <w:t xml:space="preserve">aside, how, if so, should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assisted</w:t>
        <w:br w:type="textWrapping"/>
        <w:t xml:space="preserve">minister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communicate?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is</w:t>
        <w:br w:type="textWrapping"/>
        <w:t xml:space="preserve">my body]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I now offer to you,</w:t>
        <w:br w:type="textWrapping"/>
        <w:t xml:space="preserve">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bread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form of expression is important, not 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bread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wine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both cases,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cup, not the</w:t>
        <w:br w:type="textWrapping"/>
        <w:t xml:space="preserve">bread or wine itself, 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each</w:t>
        <w:br w:type="textWrapping"/>
        <w:t xml:space="preserve">cas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precluding all idea of a substantial</w:t>
        <w:br w:type="textWrapping"/>
        <w:t xml:space="preserve">change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this much-controverted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 stre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is to be laid. In</w:t>
        <w:br w:type="textWrapping"/>
        <w:t xml:space="preserve">the original tongue in which probably our</w:t>
        <w:br w:type="textWrapping"/>
        <w:t xml:space="preserve">Lord spoke,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 would not be expressed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</w:t>
        <w:br w:type="textWrapping"/>
        <w:t xml:space="preserve">as it now stands, it is merely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logical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copula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between the subject,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</w:t>
        <w:br w:type="textWrapping"/>
        <w:t xml:space="preserve">predicate,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connexion of these</w:t>
        <w:br w:type="textWrapping"/>
        <w:t xml:space="preserve">two will require deeper consideration. First</w:t>
        <w:br w:type="textWrapping"/>
        <w:t xml:space="preserve">we may observe, as above of the subject,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here of the predicate, that it is not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(although that very expression is didactically used in its general</w:t>
        <w:br w:type="textWrapping"/>
        <w:t xml:space="preserve">sense in John vi. 51, as applying to the</w:t>
        <w:br w:type="textWrapping"/>
        <w:t xml:space="preserve">bread),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body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made</w:t>
        <w:br w:type="textWrapping"/>
        <w:t xml:space="preserve">up of fle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and blood; and although analogically the bread may represent one and</w:t>
        <w:br w:type="textWrapping"/>
        <w:t xml:space="preserve">the wine the other, the assertion here is</w:t>
        <w:br w:type="textWrapping"/>
        <w:t xml:space="preserve">not to be analogically taken merely: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I give you, (is)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Under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 mystery of my Body: the 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ertion has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literal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has also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symbolic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meaning. And it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literal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meaning which gives to the spiritual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symbolic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meaning its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fitness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fulness.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literal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meaning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then,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(is)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we have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BREAD,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‘the staff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life,”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identified 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BODY OF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particular bread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particular flesh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at that moment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stituted the Body before them, nor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particular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bread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 Body</w:t>
        <w:br w:type="textWrapping"/>
        <w:t xml:space="preserve">of the Lord in heaven: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ood of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is</w:t>
        <w:br w:type="textWrapping"/>
        <w:t xml:space="preserve">strikingly set forth in Jo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vi.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1. Now</w:t>
        <w:br w:type="textWrapping"/>
        <w:t xml:space="preserve">the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ystery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Lord’s Body is,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and by it is all created being upheld: in</w:t>
        <w:br w:type="textWrapping"/>
        <w:t xml:space="preserve">Him all things consist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Col.i.17;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Him</w:t>
        <w:br w:type="textWrapping"/>
        <w:t xml:space="preserve">wa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John i. 4, And thus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widest sense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the Body of the</w:t>
        <w:br w:type="textWrapping"/>
        <w:t xml:space="preserve">Lord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sustenance and upholding of al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living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Our very bodies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dependent</w:t>
        <w:br w:type="textWrapping"/>
        <w:t xml:space="preserve">upon 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unless by his Body standing</w:t>
        <w:br w:type="textWrapping"/>
        <w:t xml:space="preserve">pure and accepted before tho Father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could</w:t>
        <w:br w:type="textWrapping"/>
        <w:t xml:space="preserve">not exist nor be nourished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that to all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MRfYIWKQow6fH7ozpHuopLJutA==">CgMxLjA4AHIhMXprTTNsZmFPckNrU0xaQ3c3NG44S2lob3N5bG1SU0xk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