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O. T., and the Mischna states that</w:t>
        <w:br w:type="textWrapping"/>
        <w:t xml:space="preserve">the inhabitants of Jerusalem, and the</w:t>
        <w:br w:type="textWrapping"/>
        <w:t xml:space="preserve">priests every where, kept no fowls, because</w:t>
        <w:br w:type="textWrapping"/>
        <w:t xml:space="preserve">they scratched up unclean worms. But</w:t>
        <w:br w:type="textWrapping"/>
        <w:t xml:space="preserve">the Talmud is here not consistent with</w:t>
        <w:br w:type="textWrapping"/>
        <w:t xml:space="preserve">itself: and Lightfoot brings forward a</w:t>
        <w:br w:type="textWrapping"/>
        <w:t xml:space="preserve">story which proves it. And there might</w:t>
        <w:br w:type="textWrapping"/>
        <w:t xml:space="preserve">be many kept by the resident Romans,</w:t>
        <w:br w:type="textWrapping"/>
        <w:t xml:space="preserve">over whom the Jews had no power.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 must not overlook the spiritual parabolic</w:t>
        <w:br w:type="textWrapping"/>
        <w:t xml:space="preserve">import of this warning. Peter stands</w:t>
        <w:br w:type="textWrapping"/>
        <w:t xml:space="preserve">here as a representative of all disciples who</w:t>
        <w:br w:type="textWrapping"/>
        <w:t xml:space="preserve">deny or forget Christ—and the watchful</w:t>
        <w:br w:type="textWrapping"/>
        <w:t xml:space="preserve">bird that cries in the night is that warning</w:t>
        <w:br w:type="textWrapping"/>
        <w:t xml:space="preserve">voice which ‘speaketh once, yea twice,’ to</w:t>
        <w:br w:type="textWrapping"/>
        <w:t xml:space="preserve">call them to repentance: see Rom. xiii.</w:t>
        <w:br w:type="textWrapping"/>
        <w:t xml:space="preserve">11, 12.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though I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again</w:t>
        <w:br w:type="textWrapping"/>
        <w:t xml:space="preserve">appears to have the precision of a repeated</w:t>
        <w:br w:type="textWrapping"/>
        <w:t xml:space="preserve">asseveration. St. Mark has the stronger expression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 spake the more vehemently,”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which even more clearly indicates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die with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now first said. The</w:t>
        <w:br w:type="textWrapping"/>
        <w:t xml:space="preserve">rest said it, but not so earnestly perhaps;</w:t>
        <w:br w:type="textWrapping"/>
        <w:t xml:space="preserve">—at all events, Peter's confidence cast</w:t>
        <w:br w:type="textWrapping"/>
        <w:t xml:space="preserve">theirs into the shade.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36—46.]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LORD’S AGONY AT</w:t>
        <w:br w:type="textWrapping"/>
        <w:t xml:space="preserve">GETHSEMANE. Mark xiv. 32—42. Luke</w:t>
        <w:br w:type="textWrapping"/>
        <w:t xml:space="preserve">xxii. 39—46. John xviii. 1. The account</w:t>
        <w:br w:type="textWrapping"/>
        <w:t xml:space="preserve">of the temptation, and of the agony in</w:t>
        <w:br w:type="textWrapping"/>
        <w:t xml:space="preserve">Gethsemane is peculiar to the three first</w:t>
        <w:br w:type="textWrapping"/>
        <w:t xml:space="preserve">Evangelists. But it does not therefore</w:t>
        <w:br w:type="textWrapping"/>
        <w:t xml:space="preserve">follow that there is, in their narratives,</w:t>
        <w:br w:type="textWrapping"/>
        <w:t xml:space="preserve">any inconsistency with St. John’s setting</w:t>
        <w:br w:type="textWrapping"/>
        <w:t xml:space="preserve">forth of the Person of Christ. For it</w:t>
        <w:br w:type="textWrapping"/>
        <w:t xml:space="preserve">must be remembered, that, as we find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accounts frequent manifestations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divine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indications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future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about, and during this conflict,—</w:t>
        <w:br w:type="textWrapping"/>
        <w:t xml:space="preserve">so in St. John’s account, which brings out</w:t>
        <w:br w:type="textWrapping"/>
        <w:t xml:space="preserve">more the divine side of our Lord’s working</w:t>
        <w:br w:type="textWrapping"/>
        <w:t xml:space="preserve">and speaking, we find frequent allusions to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human weakness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distress of spirit.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examples of the first, see vv. 13, 24, 29,</w:t>
        <w:br w:type="textWrapping"/>
        <w:t xml:space="preserve">32, 53, and the parallels in Mark and Luke;</w:t>
        <w:br w:type="textWrapping"/>
        <w:t xml:space="preserve">and Luke xxii. 30, 32, 37, 43; of the latter,</w:t>
        <w:br w:type="textWrapping"/>
        <w:t xml:space="preserve">John xii. 27; xiii. 21; xiv. 30; xvi. 32.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right understanding of the</w:t>
        <w:br w:type="textWrapping"/>
        <w:t xml:space="preserve">whole important narration must be acquired</w:t>
        <w:br w:type="textWrapping"/>
        <w:t xml:space="preserve">by bearing in mind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reality of</w:t>
        <w:br w:type="textWrapping"/>
        <w:t xml:space="preserve">the manhood of our Lord, in all its abasement</w:t>
        <w:br w:type="textWrapping"/>
        <w:t xml:space="preserve">and weakness: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—by following out in</w:t>
        <w:br w:type="textWrapping"/>
        <w:t xml:space="preserve">Him the analogy which per the</w:t>
        <w:br w:type="textWrapping"/>
        <w:t xml:space="preserve">characteristics of human suffering—the</w:t>
        <w:br w:type="textWrapping"/>
        <w:t xml:space="preserve">strength of the resolved spirit, and calm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resigned will, continually broken in</w:t>
        <w:br w:type="textWrapping"/>
        <w:t xml:space="preserve">upon by the inward giving way of human</w:t>
        <w:br w:type="textWrapping"/>
        <w:t xml:space="preserve">feebleness, and limited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of endurance.</w:t>
        <w:br w:type="textWrapping"/>
        <w:t xml:space="preserve">But as in us, so in the Lord, these seasons</w:t>
        <w:br w:type="textWrapping"/>
        <w:t xml:space="preserve">of dread and conflict stir not the ruling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alter not the firm resolve. This is</w:t>
        <w:br w:type="textWrapping"/>
        <w:t xml:space="preserve">moat manifest 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prayer—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it be</w:t>
        <w:br w:type="textWrapping"/>
        <w:t xml:space="preserve">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—‘if consistent with that work</w:t>
        <w:br w:type="textWrapping"/>
        <w:t xml:space="preserve">which I have covenanted to do.’ Here is</w:t>
        <w:br w:type="textWrapping"/>
        <w:t xml:space="preserve">the reserve of the will to suffer—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  <w:br w:type="textWrapping"/>
        <w:t xml:space="preserve">never stirred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below). The conflict</w:t>
        <w:br w:type="textWrapping"/>
        <w:t xml:space="preserve">however of the Lord differs from ours in</w:t>
        <w:br w:type="textWrapping"/>
        <w:t xml:space="preserve">this,—that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ruling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phase 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will, and may</w:t>
        <w:br w:type="textWrapping"/>
        <w:t xml:space="preserve">be and is often carried away by the excess</w:t>
        <w:br w:type="textWrapping"/>
        <w:t xml:space="preserve">of depression and suffering; whereas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Personality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higher Will of the covenant</w:t>
        <w:br w:type="textWrapping"/>
        <w:t xml:space="preserve">was eternally fi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,—struggling</w:t>
        <w:br w:type="textWrapping"/>
        <w:t xml:space="preserve">with the flesh now overwhelmed with an</w:t>
        <w:br w:type="textWrapping"/>
        <w:t xml:space="preserve">horrible dread, and striving to escape</w:t>
        <w:br w:type="textWrapping"/>
        <w:t xml:space="preserve">away (see the whole of Ps. lv.). Besides</w:t>
        <w:br w:type="textWrapping"/>
        <w:t xml:space="preserve">that, by that uplifting into a superhuman</w:t>
        <w:br w:type="textWrapping"/>
        <w:t xml:space="preserve">circle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the indwelling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Godhead endowed His</w:t>
        <w:br w:type="textWrapping"/>
        <w:t xml:space="preserve">humanity, His flesh, with all its capacities</w:t>
        <w:br w:type="textWrapping"/>
        <w:t xml:space="preserve">and apprehensions, was brought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once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immediate and simultaneous contact</w:t>
        <w:br w:type="textWrapping"/>
        <w:t xml:space="preserve">with every circumstance of horror and</w:t>
        <w:br w:type="textWrapping"/>
        <w:t xml:space="preserve">pain that awaited Him (John xviii. 4),</w:t>
        <w:br w:type="textWrapping"/>
        <w:t xml:space="preserve">which is never the case with us. Not</w:t>
        <w:br w:type="textWrapping"/>
        <w:t xml:space="preserve">only are the objects of dread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gradually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unveiled to our minds,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ever</w:t>
        <w:br w:type="textWrapping"/>
        <w:t xml:space="preserve">suggesting that things may not be so bad</w:t>
        <w:br w:type="textWrapping"/>
        <w:t xml:space="preserve">as our fears represent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we</w:t>
        <w:br w:type="textWrapping"/>
        <w:t xml:space="preserve">must not forget, that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gave</w:t>
        <w:br w:type="textWrapping"/>
        <w:t xml:space="preserve">way under dread of suffering,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troubled with all the attendant</w:t>
        <w:br w:type="textWrapping"/>
        <w:t xml:space="preserve">circumstances of that suffering—betrayal,</w:t>
        <w:br w:type="textWrapping"/>
        <w:t xml:space="preserve">desertion, shame (see Ps. lv. again, vv.</w:t>
        <w:br w:type="textWrapping"/>
        <w:t xml:space="preserve">12—14, 20, 21; xxxviii. 11, 12;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xxxviii.</w:t>
        <w:br w:type="textWrapping"/>
        <w:t xml:space="preserve">al.). Nor again must we pass over the</w:t>
        <w:br w:type="textWrapping"/>
        <w:t xml:space="preserve">last and deepest mystery of the Passion—</w:t>
        <w:br w:type="textWrapping"/>
        <w:t xml:space="preserve">the consideration, that upon the holy and</w:t>
        <w:br w:type="textWrapping"/>
        <w:t xml:space="preserve">innocent Lamb of God rested the burden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 sin—that to Him, death, as</w:t>
        <w:br w:type="textWrapping"/>
        <w:t xml:space="preserve">the punishment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bore a dark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dreadful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meaning, inconceivable by any of</w:t>
        <w:br w:type="textWrapping"/>
        <w:t xml:space="preserve">us, whose inner will is tainted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sin. See on this part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edeemer’s</w:t>
        <w:br w:type="textWrapping"/>
        <w:t xml:space="preserve">agony,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xl. 12; xxxviii. 1—10. See</w:t>
        <w:br w:type="textWrapping"/>
        <w:t xml:space="preserve">also as a comment on the whole, Heb. 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—10, and notes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three</w:t>
        <w:br w:type="textWrapping"/>
        <w:t xml:space="preserve">accounts do not differ in any important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jf0MQgidC2oiQmi5Jf3xGamPcA==">CgMxLjA4AHIhMUd6Z2tBbTQxREp3UGxkOUJNT2h1SkZqajFfQTBQM3hG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