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view be objected to, yet she could not</w:t>
        <w:br w:type="textWrapping"/>
        <w:t xml:space="preserve">be named here, nor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Mark,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except separately from these three—for she could not have been well included among those</w:t>
        <w:br w:type="textWrapping"/>
        <w:t xml:space="preserve">who ministered to Him. There must have</w:t>
        <w:br w:type="textWrapping"/>
        <w:t xml:space="preserve">been also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another group,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disciples,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within sight ;—e. g. Thomas, who said,</w:t>
        <w:br w:type="textWrapping"/>
        <w:t xml:space="preserve">‘Except I see in his hands the print of the</w:t>
        <w:br w:type="textWrapping"/>
        <w:t xml:space="preserve">nails,’ &amp;c., and generally those to whom He</w:t>
        <w:br w:type="textWrapping"/>
        <w:t xml:space="preserve">afterwards shewed his hands and feet as a</w:t>
        <w:br w:type="textWrapping"/>
        <w:t xml:space="preserve">proof of His identity.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57—61.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JOSEPH OF ARIMATHÆA BEGS, AND BURIES THE BODY OF JESUS. Mark</w:t>
        <w:br w:type="textWrapping"/>
        <w:t xml:space="preserve">xv. 42—47. Luke xxiii. 50—56. John xix.</w:t>
        <w:br w:type="textWrapping"/>
        <w:t xml:space="preserve">88—42. The four accounts, agreeing in</w:t>
        <w:br w:type="textWrapping"/>
        <w:t xml:space="preserve">substance, are remarkably distinct and independent, as will appear by a close comparison of them.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Before sunset,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at which time the sabbath, and that an</w:t>
        <w:br w:type="textWrapping"/>
        <w:t xml:space="preserve">high day, began: see Deut. xxi. 23.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Roman custom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for the bodies to remain on the crosses till devoured by birds of prey. On the other hand Josephus</w:t>
        <w:br w:type="textWrapping"/>
        <w:t xml:space="preserve">says that the Jews were so careful about</w:t>
        <w:br w:type="textWrapping"/>
        <w:t xml:space="preserve">burying that they took down even</w:t>
        <w:br w:type="textWrapping"/>
        <w:t xml:space="preserve">those who had been crucified, and buried</w:t>
        <w:br w:type="textWrapping"/>
        <w:t xml:space="preserve">them before sunset.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probably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the Prætorium.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Meyer supposes,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the</w:t>
        <w:br w:type="textWrapping"/>
        <w:t xml:space="preserve">place of execution: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is possible,</w:t>
        <w:br w:type="textWrapping"/>
        <w:t xml:space="preserve">and seems supported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“came and took</w:t>
        <w:br w:type="textWrapping"/>
        <w:t xml:space="preserve">down,”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 ver. 38,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“there came</w:t>
        <w:br w:type="textWrapping"/>
        <w:t xml:space="preserve">also... 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ver. 39, which certainly was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Golgotha.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rich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—he was also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counsellor,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one of the Sanhedrim: see Mark, ver. 43: Luke, ver. 51.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Arimathæa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Opinions are divided</w:t>
        <w:br w:type="textWrapping"/>
        <w:t xml:space="preserve">as to whether this was Rama in Benjamin</w:t>
        <w:br w:type="textWrapping"/>
        <w:t xml:space="preserve">(see ch. ii. 18), or Rama (Ramathaim) in</w:t>
        <w:br w:type="textWrapping"/>
        <w:t xml:space="preserve">Ephraim, the birth-place of Samuel. The</w:t>
        <w:br w:type="textWrapping"/>
        <w:t xml:space="preserve">form of the name is more like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latter.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repetition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body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remarkable, and indicates a common</w:t>
        <w:br w:type="textWrapping"/>
        <w:t xml:space="preserve">origin, in this verse, with Mark, who after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expresses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body,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account of</w:t>
        <w:br w:type="textWrapping"/>
        <w:t xml:space="preserve">the expression of Pilate’s surprise, and</w:t>
        <w:br w:type="textWrapping"/>
        <w:t xml:space="preserve">the change of subject between.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John (ver. 39) mentions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arrival of</w:t>
        <w:br w:type="textWrapping"/>
        <w:t xml:space="preserve">Nicodemus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with an hundred pound weight</w:t>
        <w:br w:type="textWrapping"/>
        <w:t xml:space="preserve">of myrrh and aloes, in which also the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wrapped. The Three seem not to be</w:t>
        <w:br w:type="textWrapping"/>
        <w:t xml:space="preserve">in possession of this— nor St. Matthew and</w:t>
        <w:br w:type="textWrapping"/>
        <w:t xml:space="preserve">St. John of the subsequent design of the</w:t>
        <w:br w:type="textWrapping"/>
        <w:t xml:space="preserve">women to embalm It. What wonder if,</w:t>
        <w:br w:type="textWrapping"/>
        <w:t xml:space="preserve">at such a time, one party of disciples</w:t>
        <w:br w:type="textWrapping"/>
        <w:t xml:space="preserve">should not have been aware of the doings</w:t>
        <w:br w:type="textWrapping"/>
        <w:t xml:space="preserve">of another? It is possible that the</w:t>
        <w:br w:type="textWrapping"/>
        <w:t xml:space="preserve">women, who certainly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knew what had</w:t>
        <w:br w:type="textWrapping"/>
        <w:t xml:space="preserve">been done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ver. 61),</w:t>
        <w:br w:type="textWrapping"/>
        <w:t xml:space="preserve">may have intended to bestow on it more</w:t>
        <w:br w:type="textWrapping"/>
        <w:t xml:space="preserve">elaborate care, as whatever was doné this</w:t>
        <w:br w:type="textWrapping"/>
        <w:t xml:space="preserve">night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hurried,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vv. 41, 42.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Matthew alone relates that it</w:t>
        <w:br w:type="textWrapping"/>
        <w:t xml:space="preserve">was Joseph’s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tomb. St. John, that it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 garden,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the place where He</w:t>
        <w:br w:type="textWrapping"/>
        <w:t xml:space="preserve">was crucified.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All, except St. Mark, notice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tomb. St. John does</w:t>
        <w:br w:type="textWrapping"/>
        <w:t xml:space="preserve">not mention that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belonged to Joseph—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expression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 which was never man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yet laid”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looks as if he knew more than he has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thought it necessary to state. His</w:t>
        <w:br w:type="textWrapping"/>
        <w:t xml:space="preserve">reason for the Body being laid there is,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was near,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Preparation</w:t>
        <w:br w:type="textWrapping"/>
        <w:t xml:space="preserve">rendered haste necessary. But then we</w:t>
        <w:br w:type="textWrapping"/>
        <w:t xml:space="preserve">may well ask, How should the body of an</w:t>
        <w:br w:type="textWrapping"/>
        <w:t xml:space="preserve">executed person be laid in a new tomb,</w:t>
        <w:br w:type="textWrapping"/>
        <w:t xml:space="preserve">without the consent of the owner being</w:t>
        <w:br w:type="textWrapping"/>
        <w:t xml:space="preserve">first obtained ? And who so likely to</w:t>
        <w:br w:type="textWrapping"/>
        <w:t xml:space="preserve">provide a tomb, as he whose pious care</w:t>
        <w:br w:type="textWrapping"/>
        <w:t xml:space="preserve">for the Body was so eminent?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we can determine respecting the</w:t>
        <w:br w:type="textWrapping"/>
        <w:t xml:space="preserve">sepulchre from the data here furnished is,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 it was not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cave, but</w:t>
        <w:br w:type="textWrapping"/>
        <w:t xml:space="preserve">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artificial excavation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rock. (2)</w:t>
        <w:br w:type="textWrapping"/>
        <w:t xml:space="preserve">That it was not cut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downwards,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 the</w:t>
        <w:br w:type="textWrapping"/>
        <w:t xml:space="preserve">manner of a grave with us,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orizontally,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nearly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so, into the face of</w:t>
        <w:br w:type="textWrapping"/>
        <w:t xml:space="preserve">the rock—this I conceive to be implied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“rolled a great stone to the door,”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also</w:t>
        <w:br w:type="textWrapping"/>
        <w:t xml:space="preserve">by the use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“stooping down,”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xx.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11,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went in,”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ib. 5, 6.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 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spot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crucifixion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took place. Cyril of Jerusalem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speaks of “ the tomb close by, where He was</w:t>
        <w:br w:type="textWrapping"/>
        <w:t xml:space="preserve">laid, and the stone which was put on the</w:t>
        <w:br w:type="textWrapping"/>
        <w:t xml:space="preserve">door, which to this day (about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80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.D.)</w:t>
        <w:br w:type="textWrapping"/>
        <w:t xml:space="preserve">lies by the tomb.” 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Luke mentions more generally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 who came”</w:t>
        <w:br w:type="textWrapping"/>
        <w:t xml:space="preserve">with Him from Galilee 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specifies that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MB3oNx2eBfQ967Fwq44JByYltg==">CgMxLjA4AHIhMWdSeDlQcmcyUWRDdWxKYjJaQmxiZUp3bl84a2VpTzh2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