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Throughout Mark, the parallel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ces in Matthew are to be consulted.</w:t>
        <w:br w:type="textWrapping"/>
        <w:t xml:space="preserve">Where the agreement is verbal, or nearly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 notes are here appended.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I. 1—8.]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PREACHING AND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JOHN. Matt. iii.1—12. Luke</w:t>
        <w:br w:type="textWrapping"/>
        <w:t xml:space="preserve">iii.1—17. The object of St. Mark being to</w:t>
        <w:br w:type="textWrapping"/>
        <w:t xml:space="preserve">relate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official life and 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</w:t>
        <w:br w:type="textWrapping"/>
        <w:t xml:space="preserve">Lord, he begins with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as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necessary introduction to it,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preaching of John the Baptist.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account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John’s baptism has many phrases in common with both Matthew and Luke;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additional prophecy quoted in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 is certainly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independent and distinct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Introduction to the Gospels). 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 be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ginning]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probably a title to</w:t>
        <w:br w:type="textWrapping"/>
        <w:t xml:space="preserve">what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follows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1, and not connected with ver. 4, nor with ver. 2. It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simpler, and gives more majesty to the</w:t>
        <w:br w:type="textWrapping"/>
        <w:t xml:space="preserve">opening, to put a period at the end of</w:t>
        <w:br w:type="textWrapping"/>
        <w:t xml:space="preserve">ver. 1, and make the citation from the</w:t>
        <w:br w:type="textWrapping"/>
        <w:t xml:space="preserve">prophet a new and confirmatory title.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Jesus Christ]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of</w:t>
        <w:br w:type="textWrapping"/>
        <w:t xml:space="preserve">as its Subject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the context may deter-</w:t>
        <w:br w:type="textWrapping"/>
        <w:t xml:space="preserve">mine. Here probably it is the latter: and</w:t>
        <w:br w:type="textWrapping"/>
        <w:t xml:space="preserve">so will mean,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glad tidings concerning Jesus Christ.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2, 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{2} The citation here is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 prophets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Isa. and Mal.; see reff. The fact will not fail to be observed by the careful and honest</w:t>
        <w:br w:type="textWrapping"/>
        <w:t xml:space="preserve">student of the Gospels. {3} Had the citation</w:t>
        <w:br w:type="textWrapping"/>
        <w:t xml:space="preserve">from Isaiah stood first, it would have been</w:t>
        <w:br w:type="textWrapping"/>
        <w:t xml:space="preserve">of no note, as Meyer observes. Consult</w:t>
        <w:br w:type="textWrapping"/>
        <w:t xml:space="preserve">notes on Matt. xi. 10; iii. 3.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on Matt. iii.1. the baptism of repentance, the baptism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symbolic of repentance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forgiveness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 of the death unto sin, and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U+3OniY6lwTnpyyNjuJlaoR+pQ==">CgMxLjA4AHIhMWh6Tml6LTA5ZUpOREg2WWQ4Vlp6Qy1sekhFTm54d3Ni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