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ap. II. 1—18.] HEALING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PARALYTI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AT 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APERN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AUM.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Matt. ix.2—8,</w:t>
        <w:br w:type="textWrapping"/>
        <w:t xml:space="preserve">where see notes. Luke v. 17—26. — The</w:t>
        <w:br w:type="textWrapping"/>
        <w:t xml:space="preserve">three are evidently independent accounts;</w:t>
        <w:br w:type="textWrapping"/>
        <w:t xml:space="preserve">St. Mark’s, as 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most precise in de-</w:t>
        <w:br w:type="textWrapping"/>
        <w:t xml:space="preserve">tails; e.g.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borne of fo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St. Luke’s also</w:t>
        <w:br w:type="textWrapping"/>
        <w:t xml:space="preserve">bearing marks of an eye-witness (see ver. 19,</w:t>
        <w:br w:type="textWrapping"/>
        <w:t xml:space="preserve">end); St. Matthew’s apparently at second</w:t>
        <w:br w:type="textWrapping"/>
        <w:t xml:space="preserve">hand.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this verse we have again</w:t>
        <w:br w:type="textWrapping"/>
        <w:t xml:space="preserve">the peculiar minute depicting of Mark. A</w:t>
        <w:br w:type="textWrapping"/>
        <w:t xml:space="preserve">recent learned Commentator believes “these</w:t>
        <w:br w:type="textWrapping"/>
        <w:t xml:space="preserve">minute notices... to be recorded by the</w:t>
        <w:br w:type="textWrapping"/>
        <w:t xml:space="preserve">Evangelist with a studied design, lest it</w:t>
        <w:br w:type="textWrapping"/>
        <w:t xml:space="preserve">should be supposed that, because he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incorporates so much which is in St. Matthew’s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gospel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 was only a copyist: and in order</w:t>
        <w:br w:type="textWrapping"/>
        <w:t xml:space="preserve">to shew that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did so because he knew from</w:t>
        <w:br w:type="textWrapping"/>
        <w:t xml:space="preserve">ocular testimony that St. Matthew’s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narrative was adequate and accurate.” I</w:t>
        <w:br w:type="textWrapping"/>
        <w:t xml:space="preserve">mention this, to shew to what shifts the</w:t>
        <w:br w:type="textWrapping"/>
        <w:t xml:space="preserve">advocates of the theory of the “inter-</w:t>
        <w:br w:type="textWrapping"/>
        <w:t xml:space="preserve">dependence” of the Evangelists are now</w:t>
        <w:br w:type="textWrapping"/>
        <w:t xml:space="preserve">reduced.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Literally,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that not even</w:t>
        <w:br w:type="textWrapping"/>
        <w:t xml:space="preserve">the parts towards the door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(much less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house)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would any longer hold 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(they</w:t>
        <w:br w:type="textWrapping"/>
        <w:t xml:space="preserve">once sufficed to hold them).</w:t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preached]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the original it is in the strict imperfect</w:t>
        <w:br w:type="textWrapping"/>
        <w:t xml:space="preserve">sense: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 speaking to them the word,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when that which is about to be related happened.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3, 4.]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{4}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 would appear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Jesus was speaking to the crowd</w:t>
        <w:br w:type="textWrapping"/>
        <w:t xml:space="preserve">from the upper story of the house, they</w:t>
        <w:br w:type="textWrapping"/>
        <w:t xml:space="preserve">being assembled in the court, or perhaps</w:t>
        <w:br w:type="textWrapping"/>
        <w:t xml:space="preserve">(but less probably) in the street. Those</w:t>
        <w:br w:type="textWrapping"/>
        <w:t xml:space="preserve">who bore the paralytic ascended the stairs</w:t>
        <w:br w:type="textWrapping"/>
        <w:t xml:space="preserve">which led direct from the street to the</w:t>
        <w:br w:type="textWrapping"/>
        <w:t xml:space="preserve">flat roof of the house, and let him down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through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tiles (Luke). See the extract</w:t>
        <w:br w:type="textWrapping"/>
        <w:t xml:space="preserve">from Dr. Robinson, describing the Jewish</w:t>
        <w:br w:type="textWrapping"/>
        <w:t xml:space="preserve">house, in note on Matt. xxvi.69.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man thus]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first word depreciates;</w:t>
        <w:br w:type="textWrapping"/>
        <w:t xml:space="preserve">the second exaggerates.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knowledge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immediate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atural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is most carefully and precisel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here signified.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 I say unto thee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str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is on thee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words are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precisely those used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often in Mark, — and</w:t>
        <w:br w:type="textWrapping"/>
        <w:t xml:space="preserve">denote the turning to the paralytic and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n+x8rFRJa7+qlz6MoCQtdmjBAw==">CgMxLjA4AHIhMXhpMXdZR0w3aXMxdzdjdmY3VloxZk52Y29FWW53RmpF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