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 the same person: compare ver. 26,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26.] but hath an 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peculiar to Mark.</w:t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guilty of eternal sin]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Beza</w:t>
        <w:br w:type="textWrapping"/>
        <w:t xml:space="preserve">explains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eternal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never to be wiped 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is to the critical treatment of the</w:t>
        <w:br w:type="textWrapping"/>
        <w:t xml:space="preserve">sacred text that we owe the restoration</w:t>
        <w:br w:type="textWrapping"/>
        <w:t xml:space="preserve">of such important and deep-reaching </w:t>
        <w:br w:type="textWrapping"/>
        <w:t xml:space="preserve">expressions as this. It finds its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parallel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shall die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your sins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viii. 24.</w:t>
        <w:br w:type="textWrapping"/>
        <w:t xml:space="preserve">Kuinoel’s idea, quoted and adopted by</w:t>
        <w:br w:type="textWrapping"/>
        <w:t xml:space="preserve">Wordsw.,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punishment</w:t>
        <w:br w:type="textWrapping"/>
        <w:t xml:space="preserve">of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seems to be entirely unfounded.</w:t>
        <w:br w:type="textWrapping"/>
        <w:t xml:space="preserve">And as to its being “a Novatian error to</w:t>
        <w:br w:type="textWrapping"/>
        <w:t xml:space="preserve">assert that sin is eternal” (Word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w.), it is</w:t>
        <w:br w:type="textWrapping"/>
        <w:t xml:space="preserve">at all events a legitimate inference from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hath never forgiveness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(literally,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remission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If a sin remains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unremitted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ever,</w:t>
        <w:br w:type="textWrapping"/>
        <w:t xml:space="preserve">what is it but eternal?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0.]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explains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ground and meaning of this awful</w:t>
        <w:br w:type="textWrapping"/>
        <w:t xml:space="preserve">denunciation of the Lord.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31.]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standing without, sent unto him, calling</w:t>
        <w:br w:type="textWrapping"/>
        <w:t xml:space="preserve">him is one of Mark’s precise details.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32.] And the multitude sat about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another such.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Matthew here has</w:t>
        <w:br w:type="textWrapping"/>
        <w:t xml:space="preserve">some remarkable and graphic details also: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“He stretched forth his hand upon his</w:t>
        <w:br w:type="textWrapping"/>
        <w:t xml:space="preserve">disciples.”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Both accounts were from</w:t>
        <w:br w:type="textWrapping"/>
        <w:t xml:space="preserve">eye-witnesses,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noticing the </w:t>
        <w:br w:type="textWrapping"/>
        <w:t xml:space="preserve">outstretched hand;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look cast</w:t>
        <w:br w:type="textWrapping"/>
        <w:t xml:space="preserve">round. Deeply interesting are such </w:t>
        <w:br w:type="textWrapping"/>
        <w:t xml:space="preserve">particulars, the more so, as shewing the way</w:t>
        <w:br w:type="textWrapping"/>
        <w:t xml:space="preserve">in which the records arose, and their</w:t>
        <w:br w:type="textWrapping"/>
        <w:t xml:space="preserve">united strength derived from their </w:t>
        <w:br w:type="textWrapping"/>
        <w:t xml:space="preserve">independence and variety.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CHAP. IV. 1–9] PARABLE OF THE SOWER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No fixed mark of date. Matt.</w:t>
        <w:br w:type="textWrapping"/>
        <w:t xml:space="preserve">xiii. 1–9. Luke viii. 4–8. There is the</w:t>
        <w:br w:type="textWrapping"/>
        <w:t xml:space="preserve">same intermixture of absolute verbal </w:t>
        <w:br w:type="textWrapping"/>
        <w:t xml:space="preserve">identity and considerable divergence, as we</w:t>
        <w:br w:type="textWrapping"/>
        <w:t xml:space="preserve">have so often noticed: which is wholly</w:t>
        <w:br w:type="textWrapping"/>
        <w:t xml:space="preserve">nee licable on the ordinary suppositions.</w:t>
        <w:br w:type="textWrapping"/>
        <w:t xml:space="preserve">In this case the vehicles of the parable in</w:t>
        <w:br w:type="textWrapping"/>
        <w:t xml:space="preserve">Matthew and Mark (see Matthew, vv. 1–3 ;</w:t>
        <w:br w:type="textWrapping"/>
        <w:t xml:space="preserve">Mark, vv. 1, 2) bear a strong, almost verbal,</w:t>
        <w:br w:type="textWrapping"/>
        <w:t xml:space="preserve">resemblance.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Such a parable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would be</w:t>
        <w:br w:type="textWrapping"/>
        <w:t xml:space="preserve">carefully treasured in all the Churches as a</w:t>
        <w:br w:type="textWrapping"/>
        <w:t xml:space="preserve">subject of catechetical instruction: and,</w:t>
        <w:br w:type="textWrapping"/>
        <w:t xml:space="preserve">in general, in proportion to the the popular</w:t>
        <w:br w:type="textWrapping"/>
        <w:t xml:space="preserve">nature of the discourse, is the resemblance</w:t>
        <w:br w:type="textWrapping"/>
        <w:t xml:space="preserve">stronger in the reports of it.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 again]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AgYWoA3eoTjU2hDvB4apK5v/dA==">CgMxLjA4AHIhMUo3R0txZUxIVWNFdjlGNHhZQmxFcThmNlMwV04yQmkw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