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see ch. iii 7.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began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coincident with the gathering together of the crowd.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 from among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many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great mass of His teaching, one parable is selected, which he spoke during it—In his doctrine.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Hearken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—this solemn prefatory is peculiar to Mark.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4–8.]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{4} Matthew and Mark agree nearly verbally. {7} In ver. 7 St. Mark adds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it yielded no 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{8} and in ver. 8,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sprang up and increased.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10–12.]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REASON FOR SPEAKING IN PARABLES. Matt. xiii. 10–17. Luke viii. 9,10.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they that were about him with the twelve;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“his disciples”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Luke.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 the mystery;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mysteries”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Matthew and Luke.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 that are 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added here 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Luke) means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multitudes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—those out of the circle of his followers. In the Epistles,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who are not Christians,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corresponding meaning for those days,—are designated by it.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must keep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strictly to its full meaning—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 that.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 God transacts a matter, it is idle to say that the result is not the purpose. He doeth all things after the counsel of His own will. St Matthew, as usual, quotes a prophecy; St. Mark hardly ever—except at the beginning of his Gospel: St. Luke, very seldom.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13-20.]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 OF THE PARABLES OF THE SOWER.</w:t>
        <w:br w:type="textWrapping"/>
        <w:t xml:space="preserve">In this parable the general question which had been asked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2NwkOS7N2amP7uXKcnja6P9lJA==">CgMxLjA4AHIhMTh1Qkg3alp5VHVZTk9jMzhJeTdJNjNVVEltNVV2a214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