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ver. 10 with regard to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parables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tacitly</w:t>
        <w:br w:type="textWrapping"/>
        <w:t xml:space="preserve">assumed to have had special reference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to the one parable which has been given</w:t>
        <w:br w:type="textWrapping"/>
        <w:t xml:space="preserve">at length. Or we may understand, that</w:t>
        <w:br w:type="textWrapping"/>
        <w:t xml:space="preserve">the question of ver. 10 took the form</w:t>
        <w:br w:type="textWrapping"/>
        <w:t xml:space="preserve">which is given in Matthew: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Why</w:t>
        <w:br w:type="textWrapping"/>
        <w:t xml:space="preserve">speakest thou unto them in parables?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in</w:t>
        <w:br w:type="textWrapping"/>
        <w:t xml:space="preserve">which case the words must mean,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asked</w:t>
        <w:br w:type="textWrapping"/>
        <w:t xml:space="preserve">Him concerning parables; or His para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les.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three explanations (see Matt.</w:t>
        <w:br w:type="textWrapping"/>
        <w:t xml:space="preserve">xiii. 18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Luke viii. 9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15) are very</w:t>
        <w:br w:type="textWrapping"/>
        <w:t xml:space="preserve">nearly related to one another, with however</w:t>
        <w:br w:type="textWrapping"/>
        <w:t xml:space="preserve">differences enough to make the common</w:t>
        <w:br w:type="textWrapping"/>
        <w:t xml:space="preserve">hypotheses quite untenable. Matthew and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ark agree nearly verbatim; Matthew</w:t>
        <w:br w:type="textWrapping"/>
        <w:t xml:space="preserve">however writing throughout in the </w:t>
        <w:br w:type="textWrapping"/>
        <w:t xml:space="preserve">singular. Mark has some additions, e.g.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</w:t>
        <w:br w:type="textWrapping"/>
        <w:t xml:space="preserve">sower soweth the word, ver. 14,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after</w:t>
        <w:br w:type="textWrapping"/>
        <w:t xml:space="preserve">“</w:t>
      </w:r>
      <w:r w:rsidDel="00000000" w:rsidR="00000000" w:rsidRPr="00000000">
        <w:rPr>
          <w:rFonts w:ascii="Consolas" w:cs="Consolas" w:eastAsia="Consolas" w:hAnsi="Consolas"/>
          <w:b w:val="1"/>
          <w:i w:val="1"/>
          <w:sz w:val="22"/>
          <w:szCs w:val="22"/>
          <w:rtl w:val="0"/>
        </w:rPr>
        <w:t xml:space="preserve">the deceitfulness of riches,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” ver. 19, and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br w:type="textWrapping"/>
        <w:t xml:space="preserve">the lusts of other things :—and some varia-</w:t>
        <w:br w:type="textWrapping"/>
        <w:t xml:space="preserve">tions, e.g. Satan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for St. Matthew's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the</w:t>
        <w:br w:type="textWrapping"/>
        <w:t xml:space="preserve">wicked one,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and St. Luke’s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the devil.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</w:t>
        <w:br w:type="textWrapping"/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Such matters are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not trifling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because</w:t>
        <w:br w:type="textWrapping"/>
        <w:t xml:space="preserve">they shew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gradual deflection of verbal</w:t>
        <w:br w:type="textWrapping"/>
        <w:t xml:space="preserve">expression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in different versions of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same</w:t>
        <w:br w:type="textWrapping"/>
        <w:t xml:space="preserve">report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,—nor is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general agreement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of</w:t>
        <w:br w:type="textWrapping"/>
        <w:t xml:space="preserve">St. Luke’s, which seems to be from a </w:t>
        <w:br w:type="textWrapping"/>
        <w:t xml:space="preserve">different hearer.</w:t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16.]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likewise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after the</w:t>
        <w:br w:type="textWrapping"/>
        <w:t xml:space="preserve">same analogy:—carrying on a like principle</w:t>
        <w:br w:type="textWrapping"/>
        <w:t xml:space="preserve">of interpretation.</w:t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20.]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Notice the </w:t>
        <w:br w:type="textWrapping"/>
        <w:t xml:space="preserve">concluding words of the interpretation exactly</w:t>
        <w:br w:type="textWrapping"/>
        <w:t xml:space="preserve">reproducing those of the parable, ver. 8, as</w:t>
        <w:br w:type="textWrapping"/>
        <w:t xml:space="preserve">characteristic. It is remarkable that the</w:t>
        <w:br w:type="textWrapping"/>
        <w:t xml:space="preserve">same is found in Matthew but in another</w:t>
        <w:br w:type="textWrapping"/>
        <w:t xml:space="preserve">form and order: one taking the climax, the</w:t>
        <w:br w:type="textWrapping"/>
        <w:t xml:space="preserve">other the anticlimax. In Luke, the two are</w:t>
        <w:br w:type="textWrapping"/>
        <w:t xml:space="preserve">varied. </w:t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21—25.]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Luke viii. 16—18;</w:t>
        <w:br w:type="textWrapping"/>
        <w:t xml:space="preserve">and for ver. 26, Matt. xiii.12.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The rest is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g7UnY+ukGwTz/uIsD8DFLQZ49XQ==">AMUW2mVSaI0UvN7suWjcw6jCDHE0lli7LmO+xawT+7vh2xuN8zS2jHV2MH5nbS+oA1JTyRtDvZmJf/sNPO/MUyCFV9xOcoNhLVggnQDQ/23I1wqkpZC1ZNY=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