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apply to these three accounts as to the</w:t>
        <w:br w:type="textWrapping"/>
        <w:t xml:space="preserve">last. Matthew is even more concise than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there, but more like an eye-witness in his</w:t>
        <w:br w:type="textWrapping"/>
        <w:t xml:space="preserve">narration (see notes on Matthew and</w:t>
        <w:br w:type="textWrapping"/>
        <w:t xml:space="preserve">Luke):—Mark the fullest of the three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name of the ruler of the synagogue is</w:t>
        <w:br w:type="textWrapping"/>
        <w:t xml:space="preserve">of three syllables, with the accent on the</w:t>
        <w:br w:type="textWrapping"/>
        <w:t xml:space="preserve">second,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Ja-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 gathered unto him…] received him,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“Notice the affectionate diminutive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little daughter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peculiar to Mark.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lieth</w:t>
        <w:br w:type="textWrapping"/>
        <w:t xml:space="preserve">at the point 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answers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</w:t>
        <w:br w:type="textWrapping"/>
        <w:t xml:space="preserve">now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Matthew.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 Matthew adds,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his disciples.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she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(was saying) perhaps need not be</w:t>
        <w:br w:type="textWrapping"/>
        <w:t xml:space="preserve">pressed to mean that she actually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to</w:t>
        <w:br w:type="textWrapping"/>
        <w:t xml:space="preserve">some one—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herself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understood.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same time,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looks very</w:t>
        <w:br w:type="textWrapping"/>
        <w:t xml:space="preserve">like the minute accuracy of one reporting</w:t>
        <w:br w:type="textWrapping"/>
        <w:t xml:space="preserve">what had been an habitual saying of the</w:t>
        <w:br w:type="textWrapping"/>
        <w:t xml:space="preserve">poor woman in her distress.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particulars see notes on Luke.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felt in her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knew in her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elliptic—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feeling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her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Mark, and </w:t>
        <w:br w:type="textWrapping"/>
        <w:t xml:space="preserve">indicative of an eye-witness.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whole of thy plague: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Mark,</w:t>
        <w:br w:type="textWrapping"/>
        <w:t xml:space="preserve">and inexplicable, except because the Lord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spoke the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olemn </w:t>
        <w:br w:type="textWrapping"/>
        <w:t xml:space="preserve">ratification of the healing which she had as it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5j5ZWo+0q8m6wnydEGsmCRouQg==">AMUW2mXy8eYRxpcaqzqtxigpvPaRuPpybXR/FSWiXtNVfGLEUbehtfT0Qhw4O5Nm0Pi6R+E5JLpPoOeEIgMNcsLf032xm7gcahMcfFcSLLvqyVux/jMJ9HQ=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