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surreptitiously obtained: see note</w:t>
        <w:br w:type="textWrapping"/>
        <w:t xml:space="preserve">on Luke, ver. 48.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Jesus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overheard the message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(word that was)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 mark of accuracy which</w:t>
        <w:br w:type="textWrapping"/>
        <w:t xml:space="preserve">is lost in the A.V.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capricious, according to modern criticism,</w:t>
        <w:br w:type="textWrapping"/>
        <w:t xml:space="preserve">must this Evangelist have been, who </w:t>
        <w:br w:type="textWrapping"/>
        <w:t xml:space="preserve">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iled his narrative out of Matthew and</w:t>
        <w:br w:type="textWrapping"/>
        <w:t xml:space="preserve">uke, adding minute particulars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leaving</w:t>
        <w:br w:type="textWrapping"/>
        <w:t xml:space="preserve">out 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 that she was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(Luke),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detail so essential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St. Mark had really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he is represented. Can testimony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stronger to the untenableness of such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view, and the independence of his </w:t>
        <w:br w:type="textWrapping"/>
        <w:t xml:space="preserve">narration? And yet such abound in every</w:t>
        <w:br w:type="textWrapping"/>
        <w:t xml:space="preserve">chapter.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41.]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say unto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added</w:t>
        <w:br w:type="textWrapping"/>
        <w:t xml:space="preserve">in the translation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accuracy of St.</w:t>
        <w:br w:type="textWrapping"/>
        <w:t xml:space="preserve">Mark’s reports,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as has been strangely</w:t>
        <w:br w:type="textWrapping"/>
        <w:t xml:space="preserve">suggested, the wish to indicate that our</w:t>
        <w:br w:type="textWrapping"/>
        <w:t xml:space="preserve">Lord did not use mystic magical language</w:t>
        <w:br w:type="textWrapping"/>
        <w:t xml:space="preserve">on such occasions,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often gives occasion to</w:t>
        <w:br w:type="textWrapping"/>
        <w:t xml:space="preserve">the insertion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Syriac and</w:t>
        <w:br w:type="textWrapping"/>
        <w:t xml:space="preserve">Aramaic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by the Lord: see</w:t>
        <w:br w:type="textWrapping"/>
        <w:t xml:space="preserve">ch. vii. 11,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4; 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Talitha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ordinary dialect of the people, is a word of</w:t>
        <w:br w:type="textWrapping"/>
        <w:t xml:space="preserve">endearment addressed to a young maiden.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So that the words are equivalent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Rise,</w:t>
        <w:br w:type="textWrapping"/>
        <w:t xml:space="preserve">my child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Peculiar to Mark.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whole account is probably derived from</w:t>
        <w:br w:type="textWrapping"/>
        <w:t xml:space="preserve">the testimony of Peter, who was present.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she was of the age of twelve 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added, as Bengel, to shew that she </w:t>
        <w:br w:type="textWrapping"/>
        <w:t xml:space="preserve">“returned to the state of body congruous to</w:t>
        <w:br w:type="textWrapping"/>
        <w:t xml:space="preserve">her age.”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betokens an eyewitness, who relates what passed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within.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St. Matthew says nothing of this, but tells</w:t>
        <w:br w:type="textWrapping"/>
        <w:t xml:space="preserve">what took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the spreading</w:t>
        <w:br w:type="textWrapping"/>
        <w:t xml:space="preserve">abroad of the report. Notice in the last</w:t>
        <w:br w:type="textWrapping"/>
        <w:t xml:space="preserve">words, that 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recovery of strength</w:t>
        <w:br w:type="textWrapping"/>
        <w:t xml:space="preserve">is left to natural causes.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VI. 1–6.]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REJECTION OF JESUS</w:t>
        <w:br w:type="textWrapping"/>
        <w:t xml:space="preserve">BY HIS COUNTRYMEN AT NAZARETH.</w:t>
        <w:br w:type="textWrapping"/>
        <w:t xml:space="preserve">Matt. xiii. 54—58, where see notes.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went out from thence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</w:t>
        <w:br w:type="textWrapping"/>
        <w:t xml:space="preserve">house of Jairus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the expression 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own</w:t>
        <w:br w:type="textWrapping"/>
        <w:t xml:space="preserve">country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corresponding clause. I</w:t>
        <w:br w:type="textWrapping"/>
        <w:t xml:space="preserve">may go out of my own house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 a </w:t>
        <w:br w:type="textWrapping"/>
        <w:t xml:space="preserve">neighbour’s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 do not say, I go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 my</w:t>
        <w:br w:type="textWrapping"/>
        <w:t xml:space="preserve">own house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into Lincolnshire: the two </w:t>
        <w:br w:type="textWrapping"/>
        <w:t xml:space="preserve">members of such a sentence must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correspond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  <w:br w:type="textWrapping"/>
        <w:t xml:space="preserve">I go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 Leicestershire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into Lincolnshire—so, as</w:t>
        <w:br w:type="textWrapping"/>
        <w:t xml:space="preserve">corresponding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own country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WRhR00diuT+MNCC0iMOXoAsPdw==">AMUW2mXTRoNE4QD02Nzvx1TBUv9kAZsNICklpJXIaeMucxyzbknxXcW3m403oXsm+albjzpox2awZ1v23IFTtlSXdnso6j8aGNDgKqpgPO0gDdTiVwFAs0Q=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