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mean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Capernaum. This against those who try on</w:t>
        <w:br w:type="textWrapping"/>
        <w:t xml:space="preserve">this misinterpretation to ground a difference</w:t>
        <w:br w:type="textWrapping"/>
        <w:t xml:space="preserve">between St. Matthew and St. Mark.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the carpenter]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expression does not,</w:t>
        <w:br w:type="textWrapping"/>
        <w:t xml:space="preserve">seem to be used at random,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to signify</w:t>
        <w:br w:type="textWrapping"/>
        <w:t xml:space="preserve">that the Lord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worked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</w:t>
        <w:br w:type="textWrapping"/>
        <w:t xml:space="preserve">trade of his reputed father. Justin Martyr</w:t>
        <w:br w:type="textWrapping"/>
        <w:t xml:space="preserve">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He wrought, while among men,</w:t>
        <w:br w:type="textWrapping"/>
        <w:t xml:space="preserve">the ordinary works of a carpenter, to wit,</w:t>
        <w:br w:type="textWrapping"/>
        <w:t xml:space="preserve">ploughs and yokes.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on the other</w:t>
        <w:br w:type="textWrapping"/>
        <w:t xml:space="preserve">hand, Origen (carelessly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assert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  <w:br w:type="textWrapping"/>
        <w:t xml:space="preserve">nowhere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received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rches is Jesus Himself called a </w:t>
        <w:br w:type="textWrapping"/>
        <w:t xml:space="preserve">carpenter. 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could there do no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want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is not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because He was</w:t>
        <w:br w:type="textWrapping"/>
        <w:t xml:space="preserve">powerless, but because they were faithless.”</w:t>
        <w:br w:type="textWrapping"/>
        <w:t xml:space="preserve">Theophylact. The same voice, which could</w:t>
        <w:br w:type="textWrapping"/>
        <w:t xml:space="preserve">still the tempests, could any where and</w:t>
        <w:br w:type="textWrapping"/>
        <w:t xml:space="preserve">under any circumstances have commanded</w:t>
        <w:br w:type="textWrapping"/>
        <w:t xml:space="preserve">diseases to obey; but in most cases of</w:t>
        <w:br w:type="textWrapping"/>
        <w:t xml:space="preserve">human infirmity, it was our Lord’s practice</w:t>
        <w:br w:type="textWrapping"/>
        <w:t xml:space="preserve">to require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recipient of aid:</w:t>
        <w:br w:type="textWrapping"/>
        <w:t xml:space="preserve">and that being wanting, the help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given. However, from what follows, we</w:t>
        <w:br w:type="textWrapping"/>
        <w:t xml:space="preserve">find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few instances it 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exist,</w:t>
        <w:br w:type="textWrapping"/>
        <w:t xml:space="preserve">and the help was given accordingly.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marvelled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need not surprise us,</w:t>
        <w:br w:type="textWrapping"/>
        <w:t xml:space="preserve">nor be construed otherwise than as a literal</w:t>
        <w:br w:type="textWrapping"/>
        <w:t xml:space="preserve">description of the Lord’s mind: in the</w:t>
        <w:br w:type="textWrapping"/>
        <w:t xml:space="preserve">mystery of his humanity, as He was </w:t>
        <w:br w:type="textWrapping"/>
        <w:t xml:space="preserve">compassed by human infirmity,—grew in </w:t>
        <w:br w:type="textWrapping"/>
        <w:t xml:space="preserve">wisdom,—learned obedience,—knew not the</w:t>
        <w:br w:type="textWrapping"/>
        <w:t xml:space="preserve">day nor the hour (ch. xiii. 32),—so He</w:t>
        <w:br w:type="textWrapping"/>
        <w:t xml:space="preserve">might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unbelief of His </w:t>
        <w:br w:type="textWrapping"/>
        <w:t xml:space="preserve">countrymen.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 went round...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Matt. ix. 35.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7—13.]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SENDING FORTH OF THE</w:t>
        <w:br w:type="textWrapping"/>
        <w:t xml:space="preserve">TWELVE. Matt.x.1–15. Luke ix.1–5:</w:t>
        <w:br w:type="textWrapping"/>
        <w:t xml:space="preserve">see also Matt. ix.36—38, as the introduction</w:t>
        <w:br w:type="textWrapping"/>
        <w:t xml:space="preserve">to this mission. The variations in the three</w:t>
        <w:br w:type="textWrapping"/>
        <w:t xml:space="preserve">accounts are trifling, as we might </w:t>
        <w:br w:type="textWrapping"/>
        <w:t xml:space="preserve">expect in so solemn a discourse delivered to</w:t>
        <w:br w:type="textWrapping"/>
        <w:t xml:space="preserve">all the twelve. See the notes to Matthew;</w:t>
        <w:br w:type="textWrapping"/>
        <w:t xml:space="preserve">—and respecting the subsequent difference</w:t>
        <w:br w:type="textWrapping"/>
        <w:t xml:space="preserve">between Matthew (ver. 16 ff.) and Luke—</w:t>
        <w:br w:type="textWrapping"/>
        <w:t xml:space="preserve">those on Luke x.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by two and two]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pointed out in Matthew's</w:t>
        <w:br w:type="textWrapping"/>
        <w:t xml:space="preserve">list of the Apostles—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however in Mark's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again shews the total absence of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connecting design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this Gospel, such as is often</w:t>
        <w:br w:type="textWrapping"/>
        <w:t xml:space="preserve">assumed. 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Striking instances occur</w:t>
        <w:br w:type="textWrapping"/>
        <w:t xml:space="preserve">in these verses, of the independence of the</w:t>
        <w:br w:type="textWrapping"/>
        <w:t xml:space="preserve">three reports in their present form.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a staff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 yet a staff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hGl/U2BbV7kGgyfyG2fT/6sxfg==">AMUW2mXK2WO+QPScq2FccKLVcC7ME3qfrcHeJEBQOdZnLHaGSZVQO3chqM8G4ckv6zM+Qr8J2D51N2R5xUgiytWqo6Fv/pQK83VJnlGc23i7NqErOjL2xkg=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