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warm heart of him who said, ‘I will go</w:t>
        <w:br w:type="textWrapping"/>
        <w:t xml:space="preserve">with thee to prison and to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31.] ye 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others; ‘you alone.’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afoot]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better rendered</w:t>
        <w:br w:type="textWrapping"/>
        <w:t xml:space="preserve">by land.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came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disembarked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most probably. Meyer</w:t>
        <w:br w:type="textWrapping"/>
        <w:t xml:space="preserve">would render it,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come forth from</w:t>
        <w:br w:type="textWrapping"/>
        <w:t xml:space="preserve">his solitude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Matthew,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  <w:br w:type="textWrapping"/>
        <w:t xml:space="preserve">disembarked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here: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very much doubt</w:t>
        <w:br w:type="textWrapping"/>
        <w:t xml:space="preserve">the former. There is nothing in Matthew</w:t>
        <w:br w:type="textWrapping"/>
        <w:t xml:space="preserve">to imply that 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reached his place of</w:t>
        <w:br w:type="textWrapping"/>
        <w:t xml:space="preserve">solitude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multit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 came up.</w:t>
        <w:br w:type="textWrapping"/>
        <w:t xml:space="preserve">John indeed,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imply this;</w:t>
        <w:br w:type="textWrapping"/>
        <w:t xml:space="preserve">but He may very well have mounted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hill or cliff from the sea before 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multitudes, and this would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his </w:t>
        <w:br w:type="textWrapping"/>
        <w:t xml:space="preserve">disembarkation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notes on John vi. 3–7, </w:t>
        <w:br w:type="textWrapping"/>
        <w:t xml:space="preserve">and Matt. xiv. 15–17.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Passover was near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would account</w:t>
        <w:br w:type="textWrapping"/>
        <w:t xml:space="preserve">for the multitude being on the move.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verse is to me rather a decisive</w:t>
        <w:br w:type="textWrapping"/>
        <w:t xml:space="preserve">proof that (see above) Mark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seen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John’s account; for how could he, having</w:t>
        <w:br w:type="textWrapping"/>
        <w:t xml:space="preserve">done so, and with his love for accurate</w:t>
        <w:br w:type="textWrapping"/>
        <w:t xml:space="preserve">detail, have so generalized the particular</w:t>
        <w:br w:type="textWrapping"/>
        <w:t xml:space="preserve">account of Philip’s question? That </w:t>
        <w:br w:type="textWrapping"/>
        <w:t xml:space="preserve">generalization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account which he used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and the circumstance was more exactly </w:t>
        <w:br w:type="textWrapping"/>
        <w:t xml:space="preserve">related by John, as also the following one</w:t>
        <w:br w:type="textWrapping"/>
        <w:t xml:space="preserve">concerning Andrew. The dividing of the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tsprNoOvbJnaVItXjVAllqJosA==">AMUW2mVUhH68ibMac2n+wGqZHRxkmxogukvdaOMdXjuRr1vkA1ZAlu/yRT0TQMqz7AXfcOwbNf1TDLjxAhBOIOLnZk5gjVIYX3uLDvcdu/sbWgp1KyPY35k=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