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traveller. It is a minute mark of</w:t>
        <w:br w:type="textWrapping"/>
        <w:t xml:space="preserve">truth, that he describes the appearance of</w:t>
        <w:br w:type="textWrapping"/>
        <w:t xml:space="preserve">persons as he doubtless had often had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 to do during the failing of sight</w:t>
        <w:br w:type="textWrapping"/>
        <w:t xml:space="preserve">which had ended in his blindness. By</w:t>
        <w:br w:type="textWrapping"/>
        <w:t xml:space="preserve">no possibility can the words convey three</w:t>
        <w:br w:type="textWrapping"/>
        <w:t xml:space="preserve">different stages of returning vision: “I</w:t>
        <w:br w:type="textWrapping"/>
        <w:t xml:space="preserve">see men. I see them standing still, and</w:t>
        <w:br w:type="textWrapping"/>
        <w:t xml:space="preserve">dimly, as trees. I see them walking.”</w:t>
        <w:br w:type="textWrapping"/>
        <w:t xml:space="preserve">For thus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altogether passed over,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walking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taken out of its place, and</w:t>
        <w:br w:type="textWrapping"/>
        <w:t xml:space="preserve">most unnaturally made into a sentence by</w:t>
        <w:br w:type="textWrapping"/>
        <w:t xml:space="preserve">itself.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If the marginal reading</w:t>
        <w:br w:type="textWrapping"/>
        <w:t xml:space="preserve">were adopted, the meaning would be,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  <w:br w:type="textWrapping"/>
        <w:t xml:space="preserve">saw plainly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work of that instant),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was thoroughly restored,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(thenceforward)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saw all things clearly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the</w:t>
        <w:br w:type="textWrapping"/>
        <w:t xml:space="preserve">text is in much uncertainty.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above in this note,—and the various</w:t>
        <w:br w:type="textWrapping"/>
        <w:t xml:space="preserve">readings in my Greek Test.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neither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both carry a separate climax with</w:t>
        <w:br w:type="textWrapping"/>
        <w:t xml:space="preserve">them: he was not even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into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village, no, nor so much as tell it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any</w:t>
        <w:br w:type="textWrapping"/>
        <w:t xml:space="preserve">who dwelt in the village.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27—30.]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{27}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CONFESSION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PETER. Matt.</w:t>
        <w:br w:type="textWrapping"/>
        <w:t xml:space="preserve">xvi. 13—20. Luke ix. 18—21. With the</w:t>
        <w:br w:type="textWrapping"/>
        <w:t xml:space="preserve">exception of the introduction in Luke, which</w:t>
        <w:br w:type="textWrapping"/>
        <w:t xml:space="preserve">describes the Lord to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raying, and joined by his disciples,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and the omission of the praise of and </w:t>
        <w:br w:type="textWrapping"/>
        <w:t xml:space="preserve">promise to Peter by 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and St.</w:t>
        <w:br w:type="textWrapping"/>
        <w:t xml:space="preserve">Luke, the three are in exact accordance.</w:t>
        <w:br w:type="textWrapping"/>
        <w:t xml:space="preserve">On this latter omission no stress must</w:t>
        <w:br w:type="textWrapping"/>
        <w:t xml:space="preserve">therefore be laid as to the character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Mark's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been done.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IX. 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ANNOUCEMENT OF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APPROACHING DEATH AND RESURRE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TION.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REBUKE OF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xvi.</w:t>
        <w:br w:type="textWrapping"/>
        <w:t xml:space="preserve">21—28. Luke ix. 22—27. St. Luke omits</w:t>
        <w:br w:type="textWrapping"/>
        <w:t xml:space="preserve">the rebuke of Peter. St. Mark adds, ver.</w:t>
        <w:br w:type="textWrapping"/>
        <w:t xml:space="preserve">32,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spake that saying openly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and, in</w:t>
        <w:br w:type="textWrapping"/>
        <w:t xml:space="preserve">the rebuke of Peter, that the Lord said</w:t>
        <w:br w:type="textWrapping"/>
        <w:t xml:space="preserve">the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looking on his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vv.</w:t>
        <w:br w:type="textWrapping"/>
        <w:t xml:space="preserve">34, 3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agreement is close, except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pGAc9KL5b3MysrdHd6fQT3vbAA==">CgMxLjA4AHIhMWNyX2tkS3RrenpaQXUzTzE3NDhTRjg5Z18wTVZ5ZlJx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