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Scrip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the exhortation with which</w:t>
        <w:br w:type="textWrapping"/>
        <w:t xml:space="preserve">this verse ends: ‘Have this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spirit of adoption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pledge of</w:t>
        <w:br w:type="textWrapping"/>
        <w:t xml:space="preserve">the covenant, in yourselves;—and,’ with</w:t>
        <w:br w:type="textWrapping"/>
        <w:t xml:space="preserve">reference to the strife out of which the</w:t>
        <w:br w:type="textWrapping"/>
        <w:t xml:space="preserve">discourse sprung,—‘have peace with one</w:t>
        <w:br w:type="textWrapping"/>
        <w:t xml:space="preserve">another.’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REPLY TO THE PHARISEES’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 CONCERNING DIVORCE.</w:t>
        <w:br w:type="textWrapping"/>
        <w:t xml:space="preserve">Matt. xix.1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Luke xvii. 11.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and the farther side]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retired,</w:t>
        <w:br w:type="textWrapping"/>
        <w:t xml:space="preserve">after His discourses to the Jews in John x.</w:t>
        <w:br w:type="textWrapping"/>
        <w:t xml:space="preserve">and before the raising of Lazarus, to</w:t>
        <w:br w:type="textWrapping"/>
        <w:t xml:space="preserve">Bethany (John i. 28; x. 40) beyond Jordan,</w:t>
        <w:br w:type="textWrapping"/>
        <w:t xml:space="preserve">and thence made his last journey to </w:t>
        <w:br w:type="textWrapping"/>
        <w:t xml:space="preserve">Jerusalem; so that in the strictest sense of the</w:t>
        <w:br w:type="textWrapping"/>
        <w:t xml:space="preserve">words He did come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 borders of</w:t>
        <w:br w:type="textWrapping"/>
        <w:t xml:space="preserve">Judea and beyond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 Matthew</w:t>
        <w:br w:type="textWrapping"/>
        <w:t xml:space="preserve">has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beyond Jordan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without the copula.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large portion of the sayings and</w:t>
        <w:br w:type="textWrapping"/>
        <w:t xml:space="preserve">doings of Jesus is omitted: compare Matt.</w:t>
        <w:br w:type="textWrapping"/>
        <w:t xml:space="preserve">xviit. 10; xix.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Luke ix. 51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xviii. 15:</w:t>
        <w:br w:type="textWrapping"/>
        <w:t xml:space="preserve">John vii. 1 ff.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Matthew, with whose account ours is nearly</w:t>
        <w:br w:type="textWrapping"/>
        <w:t xml:space="preserve">identical. Compare however our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4, 5 with Matthew vv. 7,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9, and we have</w:t>
        <w:br w:type="textWrapping"/>
        <w:t xml:space="preserve">testimony a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independence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reports—for such an arbitrary alteration</w:t>
        <w:br w:type="textWrapping"/>
        <w:t xml:space="preserve">of arrangement is inconceivable.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suffered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emphatic. Moses gave an express</w:t>
        <w:br w:type="textWrapping"/>
        <w:t xml:space="preserve">injunction.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</w:t>
        <w:br w:type="textWrapping"/>
        <w:t xml:space="preserve">makes Adam's saying His own: in</w:t>
        <w:br w:type="textWrapping"/>
        <w:t xml:space="preserve">Matthew it is attributed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 that made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(them)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 parallel</w:t>
        <w:br w:type="textWrapping"/>
        <w:t xml:space="preserve">is most instructive.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10—12.]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Matthew this saying forms part of the </w:t>
        <w:br w:type="textWrapping"/>
        <w:t xml:space="preserve">discourse with the Jews. Here again Mark</w:t>
        <w:br w:type="textWrapping"/>
        <w:t xml:space="preserve">furnishes us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exact circumstantial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account of the matter. On the addition,</w:t>
        <w:br w:type="textWrapping"/>
        <w:t xml:space="preserve">Matthew vv. 10–12, see notes there.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We may notice, that St. Mark omits St.</w:t>
        <w:br w:type="textWrapping"/>
        <w:t xml:space="preserve">Matthew’s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every 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2,—and</w:t>
        <w:br w:type="textWrapping"/>
        <w:t xml:space="preserve">his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except for fornication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ver. 11; as</w:t>
        <w:br w:type="textWrapping"/>
        <w:t xml:space="preserve">also does St. Luke (xvi. 18). The one</w:t>
        <w:br w:type="textWrapping"/>
        <w:t xml:space="preserve">omission seems to involve the other. The</w:t>
        <w:br w:type="textWrapping"/>
        <w:t xml:space="preserve">report here gives the enquiry without this</w:t>
        <w:br w:type="textWrapping"/>
        <w:t xml:space="preserve">particular exception. As a general rule, St.</w:t>
        <w:br w:type="textWrapping"/>
        <w:t xml:space="preserve">Mark, so accurate in circumstantial details,</w:t>
        <w:br w:type="textWrapping"/>
        <w:t xml:space="preserve">is less exact than St. Matthew in preserving</w:t>
        <w:br w:type="textWrapping"/>
        <w:t xml:space="preserve">the order and connexion of the discourses.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verse corresponds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whoso marrieth her that is put away </w:t>
        <w:br w:type="textWrapping"/>
        <w:t xml:space="preserve">committeth adultery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Matthew, ver 9—</w:t>
        <w:br w:type="textWrapping"/>
        <w:t xml:space="preserve">but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if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nvUwsmWDi9qZtfj/iuRbE8sFTg==">CgMxLjA4AHIhMXBscmYxcXQ0WUVlUmNPRlctY09hMVpOVkxsZFVfYlFX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