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46—52.]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BLIND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MÆUS ON DEPARTURE FROM JERICHO.</w:t>
        <w:br w:type="textWrapping"/>
        <w:t xml:space="preserve">Matt. xx. 29–34. Luke xviii. 35–43. On</w:t>
        <w:br w:type="textWrapping"/>
        <w:t xml:space="preserve">the three accounts referring to one and the</w:t>
        <w:br w:type="textWrapping"/>
        <w:t xml:space="preserve">game miracle, see on Matthew. I will only</w:t>
        <w:br w:type="textWrapping"/>
        <w:t xml:space="preserve">add here, that a similar difference of </w:t>
        <w:br w:type="textWrapping"/>
        <w:t xml:space="preserve">number between Matthew and Mark is found in</w:t>
        <w:br w:type="textWrapping"/>
        <w:t xml:space="preserve">the miracle in the neighbourhood of Gergesa, </w:t>
        <w:br w:type="textWrapping"/>
        <w:t xml:space="preserve">ch. v. 2.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Bar-timæus</w:t>
        <w:br w:type="textWrapping"/>
        <w:t xml:space="preserve">means, the son of Timæus,—so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tholomew, ch. iii. 18,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jesus, Acts xiii. 6.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on Matthew vv. 20, 31.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50.]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Signs of an eye-witness, which</w:t>
        <w:br w:type="textWrapping"/>
        <w:t xml:space="preserve">make us again believe,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have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literally exact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account of what took 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lace.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Rabboni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Master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John xx.16. It was said</w:t>
        <w:br w:type="textWrapping"/>
        <w:t xml:space="preserve">to be a more 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pectful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Rabbi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merely.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Matthew only, Jesus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touches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him. The account here and in</w:t>
        <w:br w:type="textWrapping"/>
        <w:t xml:space="preserve">Luke seems to correspond more closely</w:t>
        <w:br w:type="textWrapping"/>
        <w:t xml:space="preserve">with the wonderful strength of his faith.</w:t>
        <w:br w:type="textWrapping"/>
        <w:t xml:space="preserve">Our Lord healed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a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such cases,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Matt. viii 10–13, ch.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 29, and</w:t>
        <w:br w:type="textWrapping"/>
        <w:t xml:space="preserve">other places. St. Luke adds,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glorifying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,”—and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people 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 him</w:t>
        <w:br w:type="textWrapping"/>
        <w:t xml:space="preserve">gave glory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also Luke xix. 37.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ENTRY</w:t>
        <w:br w:type="textWrapping"/>
        <w:t xml:space="preserve">INTO JERUSALEM. Matt. xxi.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17. Luke</w:t>
        <w:br w:type="textWrapping"/>
        <w:t xml:space="preserve">xix. 29–44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xii.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36. On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uep77XsLb0iZgwrAtKddSuZSzg==">AMUW2mV/uyau+uVeUP04j94Ed4x3tU2cT20/iXRzBqY+otwPmehhUjq3V0Z6OevEvYW4yVKWaIfrcI3hgWhkgAIoPiN1AX2hvZGKV+OYNh/HwD9uxEDroEA=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